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F8EED">
      <w:pPr>
        <w:spacing w:line="360" w:lineRule="auto"/>
        <w:jc w:val="center"/>
        <w:outlineLvl w:val="0"/>
        <w:rPr>
          <w:rFonts w:hint="eastAsia" w:asciiTheme="minorEastAsia" w:hAnsiTheme="minorEastAsia" w:eastAsiaTheme="minorEastAsia"/>
          <w:b/>
          <w:color w:val="auto"/>
          <w:sz w:val="28"/>
        </w:rPr>
      </w:pPr>
      <w:bookmarkStart w:id="0" w:name="_Toc8096"/>
      <w:r>
        <w:rPr>
          <w:rFonts w:hint="eastAsia" w:asciiTheme="minorEastAsia" w:hAnsiTheme="minorEastAsia" w:eastAsiaTheme="minorEastAsia"/>
          <w:b/>
          <w:color w:val="auto"/>
          <w:sz w:val="28"/>
        </w:rPr>
        <w:t>采购需求</w:t>
      </w:r>
      <w:bookmarkEnd w:id="0"/>
    </w:p>
    <w:p w14:paraId="6D4EEDB6">
      <w:pPr>
        <w:spacing w:line="360" w:lineRule="auto"/>
        <w:jc w:val="center"/>
        <w:rPr>
          <w:rFonts w:hint="eastAsia" w:ascii="宋体" w:hAnsi="宋体" w:eastAsia="宋体" w:cs="宋体"/>
          <w:color w:val="FF0000"/>
          <w:sz w:val="24"/>
          <w:szCs w:val="24"/>
          <w:u w:val="none"/>
          <w:lang w:eastAsia="zh-CN"/>
        </w:rPr>
      </w:pPr>
      <w:r>
        <w:rPr>
          <w:rFonts w:hint="eastAsia" w:ascii="宋体" w:hAnsi="宋体" w:eastAsia="宋体" w:cs="宋体"/>
          <w:color w:val="FF0000"/>
          <w:sz w:val="24"/>
          <w:szCs w:val="24"/>
          <w:u w:val="none"/>
          <w:lang w:eastAsia="zh-CN"/>
        </w:rPr>
        <w:t>（仅供参考，具体以采购文件为准）</w:t>
      </w:r>
    </w:p>
    <w:p w14:paraId="09F19BA4">
      <w:pPr>
        <w:spacing w:line="360" w:lineRule="auto"/>
        <w:rPr>
          <w:rFonts w:asciiTheme="minorEastAsia" w:hAnsiTheme="minorEastAsia" w:eastAsiaTheme="minorEastAsia"/>
          <w:b/>
          <w:color w:val="auto"/>
          <w:sz w:val="24"/>
        </w:rPr>
      </w:pPr>
      <w:r>
        <w:rPr>
          <w:rFonts w:hint="eastAsia" w:asciiTheme="minorEastAsia" w:hAnsiTheme="minorEastAsia" w:eastAsiaTheme="minorEastAsia"/>
          <w:b/>
          <w:color w:val="auto"/>
          <w:sz w:val="24"/>
        </w:rPr>
        <w:t>前注：</w:t>
      </w:r>
    </w:p>
    <w:p w14:paraId="5D8E5418">
      <w:pPr>
        <w:spacing w:line="360" w:lineRule="auto"/>
        <w:ind w:firstLine="435"/>
        <w:rPr>
          <w:rFonts w:ascii="宋体" w:hAnsi="宋体" w:eastAsia="宋体"/>
          <w:color w:val="auto"/>
          <w:sz w:val="24"/>
          <w:szCs w:val="18"/>
        </w:rPr>
      </w:pPr>
      <w:r>
        <w:rPr>
          <w:rFonts w:hint="eastAsia" w:asciiTheme="minorEastAsia" w:hAnsiTheme="minorEastAsia" w:eastAsiaTheme="minorEastAsia"/>
          <w:color w:val="auto"/>
          <w:sz w:val="24"/>
        </w:rPr>
        <w:t>1.</w:t>
      </w:r>
      <w:r>
        <w:rPr>
          <w:rFonts w:ascii="宋体" w:hAnsi="宋体" w:eastAsia="宋体"/>
          <w:color w:val="auto"/>
          <w:sz w:val="24"/>
          <w:szCs w:val="18"/>
        </w:rPr>
        <w:t>根据</w:t>
      </w:r>
      <w:r>
        <w:rPr>
          <w:rFonts w:ascii="宋体" w:hAnsi="宋体" w:eastAsia="宋体"/>
          <w:color w:val="auto"/>
          <w:sz w:val="24"/>
          <w:szCs w:val="18"/>
          <w:highlight w:val="none"/>
        </w:rPr>
        <w:t>《</w:t>
      </w:r>
      <w:r>
        <w:rPr>
          <w:rFonts w:hint="eastAsia" w:ascii="宋体" w:hAnsi="宋体" w:eastAsia="宋体"/>
          <w:color w:val="auto"/>
          <w:sz w:val="24"/>
          <w:szCs w:val="18"/>
          <w:highlight w:val="none"/>
        </w:rPr>
        <w:t>政府采购进口产品管理办法</w:t>
      </w:r>
      <w:r>
        <w:rPr>
          <w:rFonts w:ascii="宋体" w:hAnsi="宋体" w:eastAsia="宋体"/>
          <w:color w:val="auto"/>
          <w:sz w:val="24"/>
          <w:szCs w:val="18"/>
          <w:highlight w:val="none"/>
        </w:rPr>
        <w:t>》</w:t>
      </w:r>
      <w:r>
        <w:rPr>
          <w:rFonts w:ascii="宋体" w:hAnsi="宋体" w:eastAsia="宋体"/>
          <w:color w:val="auto"/>
          <w:sz w:val="24"/>
          <w:szCs w:val="18"/>
        </w:rPr>
        <w:t>及政府采购管理部门的相关规定，下列采购需求中</w:t>
      </w:r>
      <w:r>
        <w:rPr>
          <w:rFonts w:hint="eastAsia" w:ascii="宋体" w:hAnsi="宋体" w:eastAsia="宋体"/>
          <w:color w:val="auto"/>
          <w:sz w:val="24"/>
          <w:szCs w:val="18"/>
        </w:rPr>
        <w:t>标注进口产品的货物均</w:t>
      </w:r>
      <w:r>
        <w:rPr>
          <w:rFonts w:ascii="宋体" w:hAnsi="宋体" w:eastAsia="宋体"/>
          <w:color w:val="auto"/>
          <w:sz w:val="24"/>
          <w:szCs w:val="18"/>
        </w:rPr>
        <w:t>已履行相关论证手续，经核准采购进口</w:t>
      </w:r>
      <w:r>
        <w:rPr>
          <w:rFonts w:hint="eastAsia" w:ascii="宋体" w:hAnsi="宋体" w:eastAsia="宋体"/>
          <w:color w:val="auto"/>
          <w:sz w:val="24"/>
          <w:szCs w:val="18"/>
        </w:rPr>
        <w:t>产品</w:t>
      </w:r>
      <w:r>
        <w:rPr>
          <w:rFonts w:ascii="宋体" w:hAnsi="宋体" w:eastAsia="宋体"/>
          <w:color w:val="auto"/>
          <w:sz w:val="24"/>
          <w:szCs w:val="18"/>
        </w:rPr>
        <w:t>，但不限制满足招标文件要求的国内产品参与竞争</w:t>
      </w:r>
      <w:r>
        <w:rPr>
          <w:rFonts w:hint="eastAsia" w:ascii="宋体" w:hAnsi="宋体" w:eastAsia="宋体"/>
          <w:color w:val="auto"/>
          <w:sz w:val="24"/>
          <w:szCs w:val="18"/>
        </w:rPr>
        <w:t>。未标注进口产品的货物均</w:t>
      </w:r>
      <w:r>
        <w:rPr>
          <w:rFonts w:ascii="宋体" w:hAnsi="宋体" w:eastAsia="宋体"/>
          <w:color w:val="auto"/>
          <w:sz w:val="24"/>
          <w:szCs w:val="18"/>
        </w:rPr>
        <w:t>为拒绝采购进口产品</w:t>
      </w:r>
      <w:r>
        <w:rPr>
          <w:rFonts w:hint="eastAsia" w:ascii="宋体" w:hAnsi="宋体" w:eastAsia="宋体"/>
          <w:color w:val="auto"/>
          <w:sz w:val="24"/>
          <w:szCs w:val="18"/>
        </w:rPr>
        <w:t>。</w:t>
      </w:r>
    </w:p>
    <w:p w14:paraId="56A25094">
      <w:pPr>
        <w:spacing w:line="360" w:lineRule="auto"/>
        <w:ind w:firstLine="435"/>
        <w:rPr>
          <w:rFonts w:hint="eastAsia" w:ascii="宋体" w:hAnsi="宋体" w:eastAsia="宋体"/>
          <w:color w:val="auto"/>
          <w:sz w:val="24"/>
          <w:szCs w:val="18"/>
        </w:rPr>
      </w:pPr>
      <w:r>
        <w:rPr>
          <w:rFonts w:hint="eastAsia" w:ascii="宋体" w:hAnsi="宋体" w:eastAsia="宋体"/>
          <w:color w:val="auto"/>
          <w:sz w:val="24"/>
          <w:szCs w:val="18"/>
        </w:rPr>
        <w:t>2.下列采购需求中：</w:t>
      </w:r>
    </w:p>
    <w:p w14:paraId="5CEC3B1C">
      <w:pPr>
        <w:spacing w:line="360" w:lineRule="auto"/>
        <w:ind w:firstLine="43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如属于《节能产品政府采购品目清单》中政府强制采购的节能产品，则投标人所投产品须具有市场监管总局公布的《参与实施政府采购节能产品认证机构目录》中的认证机构出具的、处于有效期内的节能产品认证证书。</w:t>
      </w:r>
    </w:p>
    <w:p w14:paraId="47CBC419">
      <w:pPr>
        <w:spacing w:line="360" w:lineRule="auto"/>
        <w:ind w:firstLine="435"/>
        <w:rPr>
          <w:rFonts w:hint="eastAsia" w:ascii="宋体" w:hAnsi="宋体" w:eastAsia="宋体"/>
          <w:color w:val="auto"/>
          <w:sz w:val="24"/>
          <w:szCs w:val="18"/>
          <w:lang w:val="en-US" w:eastAsia="zh-CN"/>
        </w:rPr>
      </w:pPr>
      <w:r>
        <w:rPr>
          <w:rFonts w:hint="eastAsia" w:ascii="宋体" w:hAnsi="宋体" w:eastAsia="宋体" w:cs="宋体"/>
          <w:color w:val="auto"/>
          <w:sz w:val="24"/>
          <w:szCs w:val="24"/>
          <w:highlight w:val="none"/>
        </w:rPr>
        <w:t>（2）如涉及商品包装和快递包装，投标人应当执行《关于印发〈商品包装政府采购需求标准（试行）〉、〈快递包装政府采购需求标准（试行）〉的通知》（财办库〔2020〕123号）、《安徽省财政厅关于贯彻落实政府绿色采购有关政策的通知》（皖财购〔2023〕853号）的要求，提供符合需求标准的绿色包装、</w:t>
      </w:r>
      <w:r>
        <w:rPr>
          <w:rFonts w:hint="eastAsia" w:ascii="宋体" w:hAnsi="宋体" w:eastAsia="宋体"/>
          <w:color w:val="auto"/>
          <w:sz w:val="24"/>
          <w:szCs w:val="18"/>
        </w:rPr>
        <w:t>绿色运输，同时，采购人将对包装材料和运输环节作为履约验收条款进行验收。</w:t>
      </w:r>
    </w:p>
    <w:p w14:paraId="3E51F195">
      <w:pPr>
        <w:spacing w:line="360" w:lineRule="auto"/>
        <w:ind w:firstLine="435"/>
        <w:rPr>
          <w:rFonts w:hint="eastAsia" w:ascii="宋体" w:hAnsi="宋体" w:eastAsia="宋体"/>
          <w:color w:val="auto"/>
          <w:sz w:val="24"/>
          <w:szCs w:val="18"/>
        </w:rPr>
      </w:pPr>
      <w:r>
        <w:rPr>
          <w:rFonts w:hint="eastAsia" w:ascii="宋体" w:hAnsi="宋体" w:eastAsia="宋体"/>
          <w:color w:val="auto"/>
          <w:sz w:val="24"/>
          <w:szCs w:val="18"/>
        </w:rPr>
        <w:t>3.下列采购需求中：标注▲的产品</w:t>
      </w:r>
      <w:r>
        <w:rPr>
          <w:rFonts w:hint="eastAsia" w:ascii="宋体" w:hAnsi="宋体" w:eastAsia="宋体"/>
          <w:color w:val="auto"/>
          <w:sz w:val="24"/>
          <w:szCs w:val="18"/>
          <w:lang w:val="en-US" w:eastAsia="zh-CN"/>
        </w:rPr>
        <w:t>为</w:t>
      </w:r>
      <w:r>
        <w:rPr>
          <w:rFonts w:hint="eastAsia" w:ascii="宋体" w:hAnsi="宋体" w:eastAsia="宋体"/>
          <w:color w:val="auto"/>
          <w:sz w:val="24"/>
          <w:szCs w:val="18"/>
        </w:rPr>
        <w:t>核心产品。</w:t>
      </w:r>
    </w:p>
    <w:p w14:paraId="275A7060">
      <w:pPr>
        <w:spacing w:line="360" w:lineRule="auto"/>
        <w:ind w:firstLine="435"/>
        <w:rPr>
          <w:rFonts w:hint="eastAsia" w:ascii="宋体" w:hAnsi="宋体" w:eastAsia="宋体"/>
          <w:color w:val="auto"/>
          <w:sz w:val="24"/>
          <w:szCs w:val="18"/>
        </w:rPr>
      </w:pPr>
      <w:r>
        <w:rPr>
          <w:rFonts w:hint="eastAsia" w:ascii="宋体" w:hAnsi="宋体" w:eastAsia="宋体"/>
          <w:color w:val="auto"/>
          <w:sz w:val="24"/>
          <w:szCs w:val="18"/>
          <w:lang w:val="en-US" w:eastAsia="zh-CN"/>
        </w:rPr>
        <w:t>4.</w:t>
      </w:r>
      <w:r>
        <w:rPr>
          <w:rFonts w:hint="eastAsia" w:ascii="宋体" w:hAnsi="宋体" w:eastAsia="宋体"/>
          <w:color w:val="auto"/>
          <w:sz w:val="24"/>
          <w:szCs w:val="18"/>
        </w:rPr>
        <w:t>如采购人允许采用分包方式履行合同的，应当明确可以分包履行的相关内容。</w:t>
      </w:r>
    </w:p>
    <w:p w14:paraId="1D53B6C0">
      <w:pPr>
        <w:spacing w:line="360" w:lineRule="auto"/>
        <w:ind w:firstLine="437"/>
        <w:outlineLvl w:val="1"/>
        <w:rPr>
          <w:rFonts w:ascii="宋体" w:hAnsi="宋体" w:eastAsia="宋体"/>
          <w:b/>
          <w:color w:val="auto"/>
          <w:sz w:val="24"/>
          <w:szCs w:val="18"/>
        </w:rPr>
      </w:pPr>
      <w:bookmarkStart w:id="1" w:name="_Toc2554"/>
      <w:r>
        <w:rPr>
          <w:rFonts w:hint="eastAsia" w:ascii="宋体" w:hAnsi="宋体" w:eastAsia="宋体"/>
          <w:b/>
          <w:color w:val="auto"/>
          <w:sz w:val="24"/>
          <w:szCs w:val="18"/>
        </w:rPr>
        <w:t>一、采购需求前附表</w:t>
      </w:r>
      <w:bookmarkEnd w:id="1"/>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2FC9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6F8A08CE">
            <w:pPr>
              <w:pStyle w:val="29"/>
              <w:pBdr>
                <w:bottom w:val="none" w:color="auto" w:sz="0" w:space="0"/>
              </w:pBdr>
              <w:tabs>
                <w:tab w:val="clear" w:pos="4153"/>
                <w:tab w:val="clear" w:pos="8306"/>
              </w:tabs>
              <w:adjustRightInd/>
              <w:spacing w:line="240" w:lineRule="auto"/>
              <w:textAlignment w:val="auto"/>
              <w:rPr>
                <w:rFonts w:ascii="宋体" w:hAnsi="宋体" w:eastAsia="宋体"/>
                <w:b/>
                <w:color w:val="auto"/>
                <w:kern w:val="2"/>
              </w:rPr>
            </w:pPr>
            <w:r>
              <w:rPr>
                <w:rFonts w:hint="eastAsia" w:ascii="宋体" w:hAnsi="宋体" w:eastAsia="宋体"/>
                <w:b/>
                <w:color w:val="auto"/>
                <w:kern w:val="2"/>
              </w:rPr>
              <w:t>序号</w:t>
            </w:r>
          </w:p>
        </w:tc>
        <w:tc>
          <w:tcPr>
            <w:tcW w:w="1192" w:type="pct"/>
            <w:vAlign w:val="center"/>
          </w:tcPr>
          <w:p w14:paraId="05EF00E1">
            <w:pPr>
              <w:pStyle w:val="30"/>
              <w:widowControl w:val="0"/>
              <w:spacing w:before="0" w:beforeAutospacing="0" w:after="0" w:afterAutospacing="0" w:line="360" w:lineRule="auto"/>
              <w:rPr>
                <w:rFonts w:ascii="宋体" w:hAnsi="宋体" w:eastAsia="宋体"/>
                <w:bCs w:val="0"/>
                <w:color w:val="auto"/>
                <w:sz w:val="24"/>
              </w:rPr>
            </w:pPr>
            <w:r>
              <w:rPr>
                <w:rFonts w:hint="eastAsia" w:ascii="宋体" w:hAnsi="宋体" w:eastAsia="宋体"/>
                <w:bCs w:val="0"/>
                <w:color w:val="auto"/>
                <w:sz w:val="24"/>
              </w:rPr>
              <w:t>条款名称</w:t>
            </w:r>
          </w:p>
        </w:tc>
        <w:tc>
          <w:tcPr>
            <w:tcW w:w="3216" w:type="pct"/>
            <w:vAlign w:val="center"/>
          </w:tcPr>
          <w:p w14:paraId="7625E15B">
            <w:pPr>
              <w:pStyle w:val="30"/>
              <w:widowControl w:val="0"/>
              <w:spacing w:before="0" w:beforeAutospacing="0" w:after="0" w:afterAutospacing="0" w:line="360" w:lineRule="auto"/>
              <w:rPr>
                <w:rFonts w:ascii="宋体" w:hAnsi="宋体" w:eastAsia="宋体"/>
                <w:bCs w:val="0"/>
                <w:color w:val="auto"/>
                <w:sz w:val="24"/>
              </w:rPr>
            </w:pPr>
            <w:r>
              <w:rPr>
                <w:rFonts w:hint="eastAsia" w:ascii="宋体" w:hAnsi="宋体" w:eastAsia="宋体"/>
                <w:bCs w:val="0"/>
                <w:color w:val="auto"/>
                <w:sz w:val="24"/>
              </w:rPr>
              <w:t>内容、说明与要求</w:t>
            </w:r>
          </w:p>
        </w:tc>
      </w:tr>
      <w:tr w14:paraId="1130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4A44F812">
            <w:pPr>
              <w:pStyle w:val="29"/>
              <w:pBdr>
                <w:bottom w:val="none" w:color="auto" w:sz="0" w:space="0"/>
              </w:pBdr>
              <w:tabs>
                <w:tab w:val="clear" w:pos="4153"/>
                <w:tab w:val="clear" w:pos="8306"/>
              </w:tabs>
              <w:adjustRightInd/>
              <w:spacing w:line="240" w:lineRule="auto"/>
              <w:textAlignment w:val="auto"/>
              <w:rPr>
                <w:rFonts w:ascii="宋体" w:hAnsi="宋体" w:eastAsia="宋体"/>
                <w:bCs/>
                <w:color w:val="auto"/>
                <w:kern w:val="2"/>
              </w:rPr>
            </w:pPr>
            <w:r>
              <w:rPr>
                <w:rFonts w:hint="eastAsia" w:ascii="宋体" w:hAnsi="宋体" w:eastAsia="宋体"/>
                <w:bCs/>
                <w:color w:val="auto"/>
                <w:kern w:val="2"/>
              </w:rPr>
              <w:t>1</w:t>
            </w:r>
          </w:p>
        </w:tc>
        <w:tc>
          <w:tcPr>
            <w:tcW w:w="1192" w:type="pct"/>
            <w:vAlign w:val="center"/>
          </w:tcPr>
          <w:p w14:paraId="58A187F3">
            <w:pPr>
              <w:pStyle w:val="30"/>
              <w:widowControl w:val="0"/>
              <w:spacing w:before="0" w:beforeAutospacing="0" w:after="0" w:afterAutospacing="0" w:line="360" w:lineRule="auto"/>
              <w:rPr>
                <w:rFonts w:ascii="宋体" w:hAnsi="宋体" w:eastAsia="宋体"/>
                <w:b w:val="0"/>
                <w:color w:val="auto"/>
                <w:sz w:val="24"/>
              </w:rPr>
            </w:pPr>
            <w:r>
              <w:rPr>
                <w:rFonts w:hint="eastAsia" w:ascii="宋体" w:hAnsi="宋体" w:eastAsia="宋体"/>
                <w:b w:val="0"/>
                <w:color w:val="auto"/>
                <w:sz w:val="24"/>
              </w:rPr>
              <w:t>付款方式</w:t>
            </w:r>
          </w:p>
        </w:tc>
        <w:tc>
          <w:tcPr>
            <w:tcW w:w="5484" w:type="dxa"/>
            <w:vAlign w:val="center"/>
          </w:tcPr>
          <w:p w14:paraId="26A4E17B">
            <w:pPr>
              <w:autoSpaceDE w:val="0"/>
              <w:autoSpaceDN w:val="0"/>
              <w:adjustRightInd w:val="0"/>
              <w:spacing w:line="360" w:lineRule="auto"/>
              <w:jc w:val="left"/>
              <w:rPr>
                <w:rFonts w:ascii="宋体" w:hAnsi="宋体" w:eastAsia="宋体" w:cs="宋体"/>
                <w:color w:val="FF0000"/>
                <w:sz w:val="24"/>
                <w:u w:val="single"/>
              </w:rPr>
            </w:pPr>
            <w:r>
              <w:rPr>
                <w:rFonts w:hint="eastAsia" w:ascii="宋体" w:hAnsi="宋体" w:eastAsia="宋体" w:cs="宋体"/>
                <w:color w:val="FF0000"/>
                <w:sz w:val="24"/>
                <w:u w:val="single"/>
              </w:rPr>
              <w:t xml:space="preserve">货物送达指定地点并完成安装，经验收合格后一次性支付合同价款 </w:t>
            </w:r>
          </w:p>
        </w:tc>
      </w:tr>
      <w:tr w14:paraId="17DD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361DA69">
            <w:pPr>
              <w:pStyle w:val="29"/>
              <w:pBdr>
                <w:bottom w:val="none" w:color="auto" w:sz="0" w:space="0"/>
              </w:pBdr>
              <w:tabs>
                <w:tab w:val="clear" w:pos="4153"/>
                <w:tab w:val="clear" w:pos="8306"/>
              </w:tabs>
              <w:adjustRightInd/>
              <w:spacing w:line="240" w:lineRule="auto"/>
              <w:textAlignment w:val="auto"/>
              <w:rPr>
                <w:rFonts w:ascii="宋体" w:hAnsi="宋体" w:eastAsia="宋体"/>
                <w:bCs/>
                <w:color w:val="auto"/>
                <w:kern w:val="2"/>
              </w:rPr>
            </w:pPr>
            <w:r>
              <w:rPr>
                <w:rFonts w:hint="eastAsia" w:ascii="宋体" w:hAnsi="宋体" w:eastAsia="宋体"/>
                <w:bCs/>
                <w:color w:val="auto"/>
                <w:kern w:val="2"/>
              </w:rPr>
              <w:t>2</w:t>
            </w:r>
          </w:p>
        </w:tc>
        <w:tc>
          <w:tcPr>
            <w:tcW w:w="1192" w:type="pct"/>
            <w:vAlign w:val="center"/>
          </w:tcPr>
          <w:p w14:paraId="2F5DADB9">
            <w:pPr>
              <w:pStyle w:val="30"/>
              <w:widowControl w:val="0"/>
              <w:spacing w:before="0" w:beforeAutospacing="0" w:after="0" w:afterAutospacing="0" w:line="360" w:lineRule="auto"/>
              <w:rPr>
                <w:rFonts w:ascii="宋体" w:hAnsi="宋体" w:eastAsia="宋体"/>
                <w:b w:val="0"/>
                <w:color w:val="auto"/>
                <w:sz w:val="24"/>
              </w:rPr>
            </w:pPr>
            <w:r>
              <w:rPr>
                <w:rFonts w:hint="eastAsia" w:ascii="宋体" w:hAnsi="宋体" w:eastAsia="宋体"/>
                <w:b w:val="0"/>
                <w:color w:val="auto"/>
                <w:sz w:val="24"/>
              </w:rPr>
              <w:t>供货及安装地点</w:t>
            </w:r>
          </w:p>
        </w:tc>
        <w:tc>
          <w:tcPr>
            <w:tcW w:w="5484" w:type="dxa"/>
            <w:vAlign w:val="center"/>
          </w:tcPr>
          <w:p w14:paraId="0534E655">
            <w:pPr>
              <w:autoSpaceDE w:val="0"/>
              <w:autoSpaceDN w:val="0"/>
              <w:adjustRightInd w:val="0"/>
              <w:spacing w:line="360" w:lineRule="auto"/>
              <w:jc w:val="left"/>
              <w:rPr>
                <w:rFonts w:ascii="宋体" w:hAnsi="宋体" w:eastAsia="宋体" w:cs="宋体"/>
                <w:color w:val="FF0000"/>
                <w:sz w:val="24"/>
              </w:rPr>
            </w:pPr>
            <w:r>
              <w:rPr>
                <w:rFonts w:hint="eastAsia" w:ascii="宋体" w:hAnsi="宋体" w:eastAsia="宋体" w:cs="宋体"/>
                <w:color w:val="FF0000"/>
                <w:sz w:val="24"/>
                <w:u w:val="single"/>
              </w:rPr>
              <w:t>安徽国际商务职业学院新校区，采购人指定地点</w:t>
            </w:r>
          </w:p>
        </w:tc>
      </w:tr>
      <w:tr w14:paraId="2710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5529B802">
            <w:pPr>
              <w:pStyle w:val="29"/>
              <w:pBdr>
                <w:bottom w:val="none" w:color="auto" w:sz="0" w:space="0"/>
              </w:pBdr>
              <w:tabs>
                <w:tab w:val="clear" w:pos="4153"/>
                <w:tab w:val="clear" w:pos="8306"/>
              </w:tabs>
              <w:adjustRightInd/>
              <w:spacing w:line="240" w:lineRule="auto"/>
              <w:textAlignment w:val="auto"/>
              <w:rPr>
                <w:rFonts w:ascii="宋体" w:hAnsi="宋体" w:eastAsia="宋体"/>
                <w:bCs/>
                <w:color w:val="auto"/>
                <w:kern w:val="2"/>
              </w:rPr>
            </w:pPr>
            <w:r>
              <w:rPr>
                <w:rFonts w:hint="eastAsia" w:ascii="宋体" w:hAnsi="宋体" w:eastAsia="宋体"/>
                <w:bCs/>
                <w:color w:val="auto"/>
                <w:kern w:val="2"/>
              </w:rPr>
              <w:t>3</w:t>
            </w:r>
          </w:p>
        </w:tc>
        <w:tc>
          <w:tcPr>
            <w:tcW w:w="1192" w:type="pct"/>
            <w:vAlign w:val="center"/>
          </w:tcPr>
          <w:p w14:paraId="28D087D6">
            <w:pPr>
              <w:pStyle w:val="30"/>
              <w:widowControl w:val="0"/>
              <w:spacing w:before="0" w:beforeAutospacing="0" w:after="0" w:afterAutospacing="0" w:line="360" w:lineRule="auto"/>
              <w:rPr>
                <w:rFonts w:ascii="宋体" w:hAnsi="宋体" w:eastAsia="宋体"/>
                <w:b w:val="0"/>
                <w:color w:val="auto"/>
                <w:sz w:val="24"/>
              </w:rPr>
            </w:pPr>
            <w:r>
              <w:rPr>
                <w:rFonts w:hint="eastAsia" w:ascii="宋体" w:hAnsi="宋体" w:eastAsia="宋体"/>
                <w:b w:val="0"/>
                <w:color w:val="auto"/>
                <w:sz w:val="24"/>
              </w:rPr>
              <w:t>供货及安装期限</w:t>
            </w:r>
          </w:p>
        </w:tc>
        <w:tc>
          <w:tcPr>
            <w:tcW w:w="5484" w:type="dxa"/>
            <w:vAlign w:val="center"/>
          </w:tcPr>
          <w:p w14:paraId="014D3453">
            <w:pPr>
              <w:autoSpaceDE w:val="0"/>
              <w:autoSpaceDN w:val="0"/>
              <w:adjustRightInd w:val="0"/>
              <w:spacing w:line="360" w:lineRule="auto"/>
              <w:jc w:val="left"/>
              <w:rPr>
                <w:rFonts w:ascii="宋体" w:hAnsi="宋体" w:eastAsia="宋体" w:cs="宋体"/>
                <w:color w:val="FF0000"/>
                <w:sz w:val="24"/>
              </w:rPr>
            </w:pPr>
            <w:r>
              <w:rPr>
                <w:rFonts w:hint="eastAsia" w:ascii="宋体" w:hAnsi="宋体" w:eastAsia="宋体" w:cs="宋体"/>
                <w:color w:val="FF0000"/>
                <w:sz w:val="24"/>
                <w:u w:val="single"/>
              </w:rPr>
              <w:t>合同签订后</w:t>
            </w:r>
            <w:r>
              <w:rPr>
                <w:rFonts w:hint="eastAsia" w:ascii="宋体" w:hAnsi="宋体" w:eastAsia="宋体" w:cs="宋体"/>
                <w:color w:val="FF0000"/>
                <w:sz w:val="24"/>
                <w:u w:val="single"/>
                <w:lang w:val="en-US" w:eastAsia="zh-CN"/>
              </w:rPr>
              <w:t>30</w:t>
            </w:r>
            <w:r>
              <w:rPr>
                <w:rFonts w:hint="eastAsia" w:ascii="宋体" w:hAnsi="宋体" w:eastAsia="宋体" w:cs="宋体"/>
                <w:color w:val="FF0000"/>
                <w:sz w:val="24"/>
                <w:u w:val="single"/>
              </w:rPr>
              <w:t>个日历日</w:t>
            </w:r>
          </w:p>
        </w:tc>
      </w:tr>
      <w:tr w14:paraId="5DB5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3D308EF6">
            <w:pPr>
              <w:pStyle w:val="29"/>
              <w:pBdr>
                <w:bottom w:val="none" w:color="auto" w:sz="0" w:space="0"/>
              </w:pBdr>
              <w:tabs>
                <w:tab w:val="clear" w:pos="4153"/>
                <w:tab w:val="clear" w:pos="8306"/>
              </w:tabs>
              <w:adjustRightInd/>
              <w:spacing w:line="240" w:lineRule="auto"/>
              <w:textAlignment w:val="auto"/>
              <w:rPr>
                <w:rFonts w:ascii="宋体" w:hAnsi="宋体" w:eastAsia="宋体"/>
                <w:bCs/>
                <w:color w:val="auto"/>
                <w:kern w:val="2"/>
              </w:rPr>
            </w:pPr>
            <w:r>
              <w:rPr>
                <w:rFonts w:hint="eastAsia" w:ascii="宋体" w:hAnsi="宋体" w:eastAsia="宋体"/>
                <w:bCs/>
                <w:color w:val="auto"/>
                <w:kern w:val="2"/>
              </w:rPr>
              <w:t>4</w:t>
            </w:r>
          </w:p>
        </w:tc>
        <w:tc>
          <w:tcPr>
            <w:tcW w:w="1192" w:type="pct"/>
            <w:vAlign w:val="center"/>
          </w:tcPr>
          <w:p w14:paraId="51EE28DF">
            <w:pPr>
              <w:pStyle w:val="30"/>
              <w:widowControl w:val="0"/>
              <w:spacing w:before="0" w:beforeAutospacing="0" w:after="0" w:afterAutospacing="0" w:line="360" w:lineRule="auto"/>
              <w:rPr>
                <w:rFonts w:ascii="宋体" w:hAnsi="宋体" w:eastAsia="宋体"/>
                <w:b w:val="0"/>
                <w:color w:val="auto"/>
                <w:sz w:val="24"/>
              </w:rPr>
            </w:pPr>
            <w:r>
              <w:rPr>
                <w:rFonts w:hint="eastAsia" w:ascii="宋体" w:hAnsi="宋体" w:eastAsia="宋体"/>
                <w:b w:val="0"/>
                <w:color w:val="auto"/>
                <w:sz w:val="24"/>
              </w:rPr>
              <w:t>免费质保期</w:t>
            </w:r>
          </w:p>
        </w:tc>
        <w:tc>
          <w:tcPr>
            <w:tcW w:w="5484" w:type="dxa"/>
            <w:vAlign w:val="center"/>
          </w:tcPr>
          <w:p w14:paraId="601D191C">
            <w:pPr>
              <w:autoSpaceDE w:val="0"/>
              <w:autoSpaceDN w:val="0"/>
              <w:adjustRightInd w:val="0"/>
              <w:spacing w:line="360" w:lineRule="auto"/>
              <w:jc w:val="left"/>
              <w:rPr>
                <w:rFonts w:hint="eastAsia" w:ascii="宋体" w:hAnsi="宋体" w:eastAsia="@仿宋_GB2312" w:cs="宋体"/>
                <w:color w:val="FF0000"/>
                <w:sz w:val="24"/>
                <w:lang w:eastAsia="zh-CN"/>
              </w:rPr>
            </w:pPr>
            <w:r>
              <w:rPr>
                <w:rFonts w:hint="eastAsia" w:ascii="宋体" w:hAnsi="宋体" w:eastAsia="宋体" w:cs="宋体"/>
                <w:bCs/>
                <w:color w:val="FF0000"/>
                <w:kern w:val="0"/>
                <w:sz w:val="24"/>
                <w:szCs w:val="28"/>
                <w:u w:val="single"/>
              </w:rPr>
              <w:t>验收合格之日起3年</w:t>
            </w:r>
            <w:r>
              <w:rPr>
                <w:rFonts w:hint="eastAsia" w:ascii="宋体" w:hAnsi="宋体" w:eastAsia="宋体" w:cs="宋体"/>
                <w:bCs/>
                <w:color w:val="FF0000"/>
                <w:kern w:val="0"/>
                <w:sz w:val="24"/>
                <w:szCs w:val="28"/>
                <w:u w:val="single"/>
                <w:lang w:eastAsia="zh-CN"/>
              </w:rPr>
              <w:t>，货物需求表另有规定的，以货物需求表</w:t>
            </w:r>
          </w:p>
        </w:tc>
      </w:tr>
    </w:tbl>
    <w:p w14:paraId="5E02BCC2">
      <w:pPr>
        <w:spacing w:line="360" w:lineRule="auto"/>
        <w:ind w:firstLine="437"/>
        <w:outlineLvl w:val="1"/>
        <w:rPr>
          <w:rFonts w:hint="eastAsia" w:ascii="宋体" w:hAnsi="宋体" w:eastAsia="宋体"/>
          <w:b/>
          <w:color w:val="auto"/>
          <w:sz w:val="24"/>
          <w:szCs w:val="18"/>
        </w:rPr>
      </w:pPr>
      <w:bookmarkStart w:id="2" w:name="_Toc5944"/>
      <w:r>
        <w:rPr>
          <w:rFonts w:hint="eastAsia" w:ascii="宋体" w:hAnsi="宋体" w:eastAsia="宋体"/>
          <w:b/>
          <w:color w:val="auto"/>
          <w:sz w:val="24"/>
          <w:szCs w:val="18"/>
          <w:lang w:eastAsia="zh-CN"/>
        </w:rPr>
        <w:t>二、</w:t>
      </w:r>
      <w:r>
        <w:rPr>
          <w:rFonts w:hint="eastAsia" w:ascii="宋体" w:hAnsi="宋体" w:eastAsia="宋体"/>
          <w:b/>
          <w:color w:val="auto"/>
          <w:sz w:val="24"/>
          <w:szCs w:val="18"/>
        </w:rPr>
        <w:t>货物需求</w:t>
      </w:r>
      <w:bookmarkEnd w:id="2"/>
    </w:p>
    <w:p w14:paraId="045D1BA1">
      <w:pPr>
        <w:spacing w:line="360" w:lineRule="auto"/>
        <w:ind w:firstLine="482" w:firstLineChars="200"/>
        <w:outlineLvl w:val="1"/>
        <w:rPr>
          <w:rFonts w:ascii="宋体" w:hAnsi="宋体" w:eastAsia="宋体"/>
          <w:b/>
          <w:bCs/>
          <w:color w:val="auto"/>
          <w:sz w:val="24"/>
          <w:szCs w:val="18"/>
        </w:rPr>
      </w:pPr>
      <w:r>
        <w:rPr>
          <w:rFonts w:hint="eastAsia" w:ascii="宋体" w:hAnsi="宋体" w:eastAsia="宋体"/>
          <w:b/>
          <w:bCs/>
          <w:color w:val="auto"/>
          <w:sz w:val="24"/>
          <w:szCs w:val="18"/>
        </w:rPr>
        <w:t>（一）指标重要性表述</w:t>
      </w:r>
    </w:p>
    <w:tbl>
      <w:tblPr>
        <w:tblStyle w:val="23"/>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7"/>
        <w:gridCol w:w="1220"/>
        <w:gridCol w:w="5387"/>
      </w:tblGrid>
      <w:tr w14:paraId="1597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5" w:type="pct"/>
            <w:vAlign w:val="center"/>
          </w:tcPr>
          <w:p w14:paraId="06F703AF">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标识重要性</w:t>
            </w:r>
          </w:p>
        </w:tc>
        <w:tc>
          <w:tcPr>
            <w:tcW w:w="717" w:type="pct"/>
            <w:vAlign w:val="center"/>
          </w:tcPr>
          <w:p w14:paraId="5DCD2A44">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标识符号</w:t>
            </w:r>
          </w:p>
        </w:tc>
        <w:tc>
          <w:tcPr>
            <w:tcW w:w="3166" w:type="pct"/>
            <w:vAlign w:val="center"/>
          </w:tcPr>
          <w:p w14:paraId="1EE1FA0D">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代表意思</w:t>
            </w:r>
          </w:p>
        </w:tc>
      </w:tr>
      <w:tr w14:paraId="7673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5" w:type="pct"/>
            <w:vAlign w:val="center"/>
          </w:tcPr>
          <w:p w14:paraId="61312BE3">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重要指标项</w:t>
            </w:r>
          </w:p>
        </w:tc>
        <w:tc>
          <w:tcPr>
            <w:tcW w:w="717" w:type="pct"/>
            <w:vAlign w:val="center"/>
          </w:tcPr>
          <w:p w14:paraId="6434139F">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w:t>
            </w:r>
          </w:p>
        </w:tc>
        <w:tc>
          <w:tcPr>
            <w:tcW w:w="3166" w:type="pct"/>
            <w:vAlign w:val="center"/>
          </w:tcPr>
          <w:p w14:paraId="4E6A1590">
            <w:pPr>
              <w:spacing w:line="360" w:lineRule="auto"/>
              <w:jc w:val="center"/>
              <w:rPr>
                <w:rFonts w:ascii="宋体" w:hAnsi="宋体" w:eastAsia="宋体" w:cs="宋体"/>
                <w:b/>
                <w:color w:val="auto"/>
                <w:sz w:val="24"/>
                <w:szCs w:val="24"/>
              </w:rPr>
            </w:pPr>
            <w:r>
              <w:rPr>
                <w:rFonts w:hint="eastAsia" w:ascii="宋体" w:hAnsi="宋体" w:eastAsia="宋体" w:cs="宋体"/>
                <w:b/>
                <w:color w:val="auto"/>
                <w:sz w:val="24"/>
                <w:szCs w:val="24"/>
              </w:rPr>
              <w:t>评分项，详见评分标准</w:t>
            </w:r>
          </w:p>
        </w:tc>
      </w:tr>
      <w:tr w14:paraId="25AB7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4" w:type="dxa"/>
            <w:vAlign w:val="center"/>
          </w:tcPr>
          <w:p w14:paraId="18102AA1">
            <w:pPr>
              <w:spacing w:line="360" w:lineRule="auto"/>
              <w:jc w:val="center"/>
              <w:rPr>
                <w:rFonts w:ascii="宋体" w:hAnsi="宋体" w:eastAsia="宋体" w:cs="宋体"/>
                <w:color w:val="auto"/>
                <w:sz w:val="24"/>
                <w:szCs w:val="24"/>
              </w:rPr>
            </w:pPr>
            <w:r>
              <w:rPr>
                <w:rFonts w:hint="eastAsia" w:ascii="宋体" w:hAnsi="宋体" w:eastAsia="宋体" w:cs="宋体"/>
                <w:b/>
                <w:bCs/>
                <w:color w:val="auto"/>
                <w:sz w:val="24"/>
                <w:szCs w:val="18"/>
              </w:rPr>
              <w:t>无标识项</w:t>
            </w:r>
          </w:p>
        </w:tc>
        <w:tc>
          <w:tcPr>
            <w:tcW w:w="1405" w:type="dxa"/>
            <w:vAlign w:val="center"/>
          </w:tcPr>
          <w:p w14:paraId="3C6F8E77">
            <w:pPr>
              <w:spacing w:line="360" w:lineRule="auto"/>
              <w:jc w:val="center"/>
              <w:rPr>
                <w:rFonts w:ascii="宋体" w:hAnsi="宋体" w:eastAsia="宋体" w:cs="宋体"/>
                <w:bCs/>
                <w:color w:val="auto"/>
                <w:sz w:val="24"/>
                <w:szCs w:val="24"/>
              </w:rPr>
            </w:pPr>
          </w:p>
        </w:tc>
        <w:tc>
          <w:tcPr>
            <w:tcW w:w="6198" w:type="dxa"/>
            <w:vAlign w:val="center"/>
          </w:tcPr>
          <w:p w14:paraId="52E769A4">
            <w:pPr>
              <w:spacing w:line="360" w:lineRule="auto"/>
              <w:rPr>
                <w:rFonts w:ascii="宋体" w:hAnsi="宋体" w:eastAsia="宋体" w:cs="宋体"/>
                <w:bCs/>
                <w:color w:val="auto"/>
                <w:sz w:val="24"/>
                <w:szCs w:val="24"/>
              </w:rPr>
            </w:pPr>
            <w:r>
              <w:rPr>
                <w:rFonts w:hint="eastAsia" w:ascii="宋体" w:hAnsi="宋体" w:eastAsia="宋体" w:cs="宋体"/>
                <w:b/>
                <w:bCs/>
                <w:color w:val="auto"/>
                <w:sz w:val="24"/>
                <w:szCs w:val="18"/>
              </w:rPr>
              <w:t>作为基础指标，有5条及以上不满足要求的，将导致投标无效。</w:t>
            </w:r>
          </w:p>
        </w:tc>
      </w:tr>
      <w:tr w14:paraId="7D3C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7" w:type="dxa"/>
            <w:gridSpan w:val="3"/>
            <w:vAlign w:val="center"/>
          </w:tcPr>
          <w:p w14:paraId="7422F207">
            <w:pPr>
              <w:spacing w:line="360" w:lineRule="auto"/>
              <w:rPr>
                <w:rFonts w:ascii="宋体" w:hAnsi="宋体" w:eastAsia="宋体" w:cs="宋体"/>
                <w:b/>
                <w:color w:val="auto"/>
                <w:sz w:val="24"/>
                <w:szCs w:val="24"/>
              </w:rPr>
            </w:pPr>
            <w:r>
              <w:rPr>
                <w:rFonts w:hint="eastAsia" w:ascii="宋体" w:hAnsi="宋体" w:eastAsia="宋体" w:cs="宋体"/>
                <w:b/>
                <w:color w:val="auto"/>
                <w:sz w:val="24"/>
                <w:szCs w:val="24"/>
              </w:rPr>
              <w:t>注：如某项标识中包含多条技术参数或要求，则该项标识所含内容均需满足或优于招标文件要求，否则不予认可。</w:t>
            </w:r>
          </w:p>
        </w:tc>
      </w:tr>
    </w:tbl>
    <w:p w14:paraId="5902617A">
      <w:pPr>
        <w:spacing w:line="360" w:lineRule="auto"/>
        <w:ind w:firstLine="482" w:firstLineChars="200"/>
        <w:outlineLvl w:val="1"/>
        <w:rPr>
          <w:rFonts w:hint="eastAsia" w:ascii="宋体" w:hAnsi="宋体" w:eastAsia="宋体"/>
          <w:b/>
          <w:bCs/>
          <w:color w:val="auto"/>
          <w:sz w:val="24"/>
          <w:szCs w:val="18"/>
        </w:rPr>
      </w:pPr>
      <w:r>
        <w:rPr>
          <w:rFonts w:hint="eastAsia" w:ascii="宋体" w:hAnsi="宋体" w:eastAsia="宋体"/>
          <w:b/>
          <w:bCs/>
          <w:color w:val="auto"/>
          <w:sz w:val="24"/>
          <w:szCs w:val="18"/>
        </w:rPr>
        <w:t>（二）货物指标要求</w:t>
      </w:r>
    </w:p>
    <w:tbl>
      <w:tblPr>
        <w:tblStyle w:val="23"/>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7"/>
        <w:gridCol w:w="1339"/>
        <w:gridCol w:w="5151"/>
        <w:gridCol w:w="816"/>
        <w:gridCol w:w="796"/>
      </w:tblGrid>
      <w:tr w14:paraId="6A865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6661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C060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货物名称</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8268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技术参数及要求</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9D4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（单位）</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7A5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所属行业</w:t>
            </w:r>
          </w:p>
        </w:tc>
      </w:tr>
      <w:tr w14:paraId="5E323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594C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889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前端设备</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61900">
            <w:pPr>
              <w:rPr>
                <w:rFonts w:hint="eastAsia" w:ascii="宋体" w:hAnsi="宋体" w:eastAsia="宋体" w:cs="宋体"/>
                <w:b/>
                <w:bCs/>
                <w:i w:val="0"/>
                <w:iCs w:val="0"/>
                <w:color w:val="000000"/>
                <w:sz w:val="20"/>
                <w:szCs w:val="20"/>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6CF69">
            <w:pPr>
              <w:jc w:val="center"/>
              <w:rPr>
                <w:rFonts w:hint="eastAsia" w:ascii="宋体" w:hAnsi="宋体" w:eastAsia="宋体" w:cs="宋体"/>
                <w:b/>
                <w:bCs/>
                <w:i w:val="0"/>
                <w:iCs w:val="0"/>
                <w:color w:val="000000"/>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9083F">
            <w:pPr>
              <w:rPr>
                <w:rFonts w:hint="eastAsia" w:ascii="宋体" w:hAnsi="宋体" w:eastAsia="宋体" w:cs="宋体"/>
                <w:b/>
                <w:bCs/>
                <w:i w:val="0"/>
                <w:iCs w:val="0"/>
                <w:color w:val="000000"/>
                <w:sz w:val="20"/>
                <w:szCs w:val="20"/>
                <w:u w:val="none"/>
              </w:rPr>
            </w:pPr>
          </w:p>
        </w:tc>
      </w:tr>
      <w:tr w14:paraId="7B9C6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68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590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olor w:val="auto"/>
                <w:sz w:val="24"/>
                <w:szCs w:val="18"/>
              </w:rPr>
              <w:t>▲</w:t>
            </w:r>
            <w:r>
              <w:rPr>
                <w:rFonts w:hint="eastAsia" w:ascii="宋体" w:hAnsi="宋体" w:eastAsia="宋体" w:cs="宋体"/>
                <w:i w:val="0"/>
                <w:iCs w:val="0"/>
                <w:color w:val="000000"/>
                <w:kern w:val="0"/>
                <w:sz w:val="20"/>
                <w:szCs w:val="20"/>
                <w:u w:val="none"/>
                <w:lang w:val="en-US" w:eastAsia="zh-CN" w:bidi="ar"/>
              </w:rPr>
              <w:t>室内枪机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4E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1、采用不低于400万像素的摄像机；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2、支持H.265编码，压缩比高，超低码流；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3、内置高效红外补光灯，红外监控距离不低于50米；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4、支持数字宽动态，3D降噪，强光抑制，背光补偿，数字水印，适用不同监控环境；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5、智能动态检测(SMD)功能检验:支持对人、机动车、全部(人或机动车)进行检测,当小狗、树叶等非人或车辆目标经过检测区域时,不会触发报警；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6、内置麦克风；</w:t>
            </w:r>
            <w:bookmarkStart w:id="3" w:name="_GoBack"/>
            <w:bookmarkEnd w:id="3"/>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7、设备可同时采用DC12V电源与POE供电,当一路电源停止供电后,样机可正常工作；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489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5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AF3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2D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49E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室内声光警戒枪机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33C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1、采用不低于400万像素的摄像机；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2、■内置GPU芯片，支持深度学习算法，有效提升检测准确率</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3、环境照度不高于0.51x,开启超感光功能后,可自动调节画面中人脸、人体目标以及环境景物的亮度、色彩饱和度、对比度、锐度；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4、内置高效暖光和红外补光灯，红外监控距离不低于60米，暖光监控距离不低于30米；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5、支持针对人、机动车、动物3类有效目标进行检测,并触发报警和设置事件联动；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6、支持人脸检测：支持跟踪，支持优选，支持抓拍，支持上报最优的人脸抓图，支持人脸抓图增强，人脸曝光，支持人脸属性提取，支持不低于6种属性，8种表情；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7、支持声光报警联动，当报警产生时，可触发联动声音警报和灯光闪烁；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8、支持一键撤防，可在自定义设置的时间段内对报警输出，邮件，音频，灯光等事件联动项进行统一撤防控制；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9、■支持自学习功能,可通过设备本地SD卡将录像导入负样本经验库,可有效过滤经验库中的误报事件；支持关联不低于5个经验库</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10、支持ROI，SMART H.264/H.265，AI H.264/H.265，灵活编码，适用不同带宽和存储环境；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11、支持报警接口不低于2进2出，音频接口不低于1进1出，485接口不低于1个，支持不低于1TB Micro SD卡，内置不低于双麦克和扬声器；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12、支持DC12V/PoE供电方式；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0DE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5DB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369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A86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89E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室内半球摄像机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91A50">
            <w:pPr>
              <w:keepNext w:val="0"/>
              <w:keepLines w:val="0"/>
              <w:widowControl/>
              <w:numPr>
                <w:ilvl w:val="0"/>
                <w:numId w:val="1"/>
              </w:numPr>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采用不低于400万像素的摄像机；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2、支持数字宽动态，3D降噪，强光抑制，背光补偿，数字水印，适用不同监控环境；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3、补光距离不小于50m（红外）；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4、支持周界防范：绊线入侵；区域入侵；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5、设备可同时采用DC12V电源与POE供电,当一路电源停止供电后,样机可正常工作；</w:t>
            </w:r>
          </w:p>
          <w:p w14:paraId="2E4297F9">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6、报警事件：网络断开；IP冲突；非法访问；动态检测；视频遮挡；音频异常侦测；智能动检（人）；安全异常；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7、内置麦克风；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0C8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33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908A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56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278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室内球机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A8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1、采用不低于400万像素的摄像机；最大分辨率不小于2560×1440；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2、补光距离不少于150m（红外）；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3、镜头焦距：5mm～115mm；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4、光学变倍不少于23倍；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5、支持绊线入侵；支持区域入侵；支持穿越围栏；支持徘徊检测；支持物品遗留；支持物品搬移；支持快速移动；支持停车检测；支持人员聚集；支持人车分类报警；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6、■支持人脸检测功能,可对经过设定区域的行人进行人脸检测和人脸跟踪,当检测到人脸后,可抓拍人脸图片、联动聚焦、目标跟踪、报警上传、发送邮件、联动录像、辅助输出等,抓拍图片数量可设</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7、支持电子防抖；电子透雾；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8、供电方式：DC24V/2.5A±25%（标配）；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9、防护等级不低于IP66；</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10、球机尺寸不少于6寸；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11、接口类型：RJ45接口。</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1E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AE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33B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47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CE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室外枪机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D99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1、采用不低于400万像素的摄像机；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2、支持H.265编码，压缩比高，超低码流；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3、内置高效红外补光灯，红外监控距离不低于50米；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4、支持数字宽动态，3D降噪，强光抑制，背光补偿，数字水印，适用不同监控环境；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5、智能动态检测(SMD)功能检验:支持对人、机动车、全部(人或机动车)进行检测,当小狗、树叶等非人或车辆目标经过检测区域时,不会触发报警；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6、内置麦克风；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7、设备可同时采用DC12V电源与POE供电,当一路电源停止供电后,样机可正常工作；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6E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BB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E7A9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81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8A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周界声光警戒枪机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667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1、采用不低于400万像素的摄像机；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2、■内置GPU芯片，支持深度学习算法，有效提升检测准确率</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3、环境照度不高于0.51x,开启超感光功能后,可自动调节画面中人脸、人体目标以及环境景物的亮度、色彩饱和度、对比度、锐度；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4、内置高效暖光和红外补光灯，红外监控距离不低于60米，暖光监控距离不低于30米；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5、支持针对人、机动车、动物3类有效目标进行检测,并触发报警和设置事件联动；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6、支持人脸检测：支持跟踪，支持优选，支持抓拍，支持上报最优的人脸抓图，支持人脸抓图增强，人脸曝光，支持人脸属性提取，支持不低于6种属性，8种表情；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7、支持声光报警联动，当报警产生时，可触发联动声音警报和灯光闪烁；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8、支持一键撤防，可在自定义设置的时间段内对报警输出，邮件，音频，灯光等事件联动项进行统一撤防控制；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9、■支持自学习功能,可通过设备本地SD卡将录像导入负样本经验库,可有效过滤经验库中的误报事件；支持关联不低于5个经验库</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10、支持ROI，SMART H.264/H.265，AI H.264/H.265，灵活编码，适用不同带宽和存储环境；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11、支持报警接口不低于2进2出，音频接口不低于1进1出，485接口不低于1个，支持不低于1TB Micro SD卡，内置不低于双麦克和扬声器；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12、支持DC12V/PoE供电方式；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38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689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9059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4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07A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高空抛物摄像机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6C3D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1、采用不低于400万像素的摄像机；</w:t>
            </w:r>
          </w:p>
          <w:p w14:paraId="016E2D86">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2、支持高空抛物检测，抛物轨迹可实时显示，支持过滤干扰目标；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3、支持楼层标定，便于快速定位；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4、■内置GPU芯片，支持深度学习算法，有效提升检测准确率</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5、支持H.265编码，压缩比高，实现超低码流传输；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6、支持走廊模式，宽动态，3D降噪，强光抑制，背光补偿，数字水印，适用不同监控环境；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7、■可在监视画面中手动标定楼层信息（楼层、户室等信息），当设备检测到高空抛物时，可显示具体楼层、户室信息</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p>
          <w:p w14:paraId="39B5BB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8、当监控画面中出现飞虫、飞鸟、大楼玻璃上的飞机倒影、高空晾晒衣物被褥等，设备不产生报警提示信息；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9、支持DC12V/PoE供电方式；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714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923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FE9F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4E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B9B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全景摄像机（室外）</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D13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1、像素不小于全景800万；球机400万；最大分辨率：全景≥4096×1800；球机≥2688×1520；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2、球机补光距离≥150m；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3、镜头焦距全景≥2.8mm；球机≥5.2mm～210mm；光学变倍不小于40倍；数字变倍不小于16倍；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4、全景支持通用行为分析（周界防范），人群分布图，车辆密度，船只检测。球机支持通用行为分析（周界防范），视频结构化，人脸识别；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5、细节摄像机自带雨刷,可远程控制开启雨刷；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人员密度检测功能,可通过浏览器对全景画面设置不少于8个检测框,检测区域人数可通过OSD叠加的形式展示并可设置5个拥挤等级的人数,当检测框中的人数在5个拥挤等级之间变化时可触发报警,可按人数或按百分比报警</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7、■支持一键态势解析,可随时对当前视频数据进行数据分析,并生成人群检测数据</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8、■全景摄像机与细节摄像机均支持对镜头前盖玻璃进行加热,可去除玻璃上的冰状和水状附着物</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9、支持H.264、H.265智能编码；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10、宽动态不小于120dB；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11、内置不少于2个麦克风、内置不少于1个扬声器；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12、支持报警接口不少于3进2出，音频接口不少于2进1出，1路BNC，1路RS485功能（可设置波特率），支持不少于 1TB Micro SD卡；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13、DC36V/PoE++（802.3bt）供电方式；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14、支持不低于IP67防护等级。</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308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FE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B678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DA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9C6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枪机支架</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96A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铝合金材质，三位可调安装支架</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26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83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AF23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81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DA9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球机支架</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92D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铝合金材质，球机支架</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F3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5B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978B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9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0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电梯摄像机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9A04">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1、采用不低于400万像素的摄像机；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2、焦距≤2.8mm；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3、内置GPU芯片，支持深度学习算法；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4、支持电瓶车检测；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5、■可通过IE浏览器配置电瓶车禁止入梯楼层,开启该功能后,当电瓶车在禁入楼层进入电梯时,将给出报警提示,默认布控楼层为1楼及地下楼层,已经在楼上的电瓶车可以正常入梯下楼</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6、内置ToF传感器，可对画面中人为手、雨伞等恶意遮挡相机行为进行报警；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7、支持内置语音播放,播放次数可设置为1~10次;可将白光设置为常亮和闪烁2种模式,闪烁频率、闪烁时长、闪烁周期可设；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8、支持同时开启视频遮挡和电瓶车入梯检测功能，当设备镜头被遮挡条件下电瓶车进入电梯，撤出遮挡物后应给出报警提示，直到电瓶车离开电梯，报警结束；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设备可通过电源返送接口和RS485接口外接楼层传感器:传感器正常工作后，可通过IE浏览器对楼层信息进行配置；可配置地上楼层数、地下楼层数,当前楼层;点击"智能填充"按钮,可分别对地上楼层和地下楼层进行方阵展；双击楼层方框可对楼层名称进行修改，名称支持数字和大小写字母组合；当修改方框中数字的绝对值大于当前值时,则依次按顺序对其右侧方框中楼层值做填充；楼层信息配置完成后，刷新或再次进入预览/配置界面时，当前楼层配置框中显示值为实际楼层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10、当设备进行重启操作后,无需重新配置楼层信息,监控画面可正确显示当前楼层；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11、报警接口不少于1进1出（报警输出为干式报警，支持常开/常闭），支持不少于256GMicroSD卡，内置MIC，内置扬声器；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12、支持工作电压DC12V（±30%）。</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4E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B82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F21C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AC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F27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无线网桥</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7C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1、2.4G Wi-Fi6 电梯网桥；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2、包含发射端和接收端两个设备，出厂默认配对，无需配置即可使用；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3、最大桥接速率287Mbps，内置定向天线水平60度，垂直60度；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4、工作温度：-30℃～+60℃（电源标配）。</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8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D81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74C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6D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51B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摄像机电源</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05F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输入：AC100~240V；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输出：DC12V2A。</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90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E0C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E1CD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A5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CE0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球机电源</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E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输入：AC100~240V；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输出：DC24V5A。</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E0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2B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7D0B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33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1B0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3.5m监控立杆（钢管）</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3BF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主杆高度：3.5m；厚度3.0；材质：镀锌钢板；横臂长度：1.0m。含钢筋地笼、水泥基础、防雷接地等。</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B1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04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F615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EE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A9E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杆装设备箱</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93A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不锈钢，400*300*200，含抱箍，电源，做好防水防盗及散热。</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A1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BC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307F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2B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864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1m墙头监控立杆</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4F2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1m墙头杆，周界声光警戒枪机专用。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46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4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8D32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CC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9E1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壁挂机柜</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9CE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600*600*1000mm,含空开电源、PDU等。</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B1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393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BD85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49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5F3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防雷器</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83E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网络加电源防雷器。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A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3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B0F4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8F64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458A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中心设备</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1F7BC">
            <w:pPr>
              <w:rPr>
                <w:rFonts w:hint="eastAsia" w:ascii="宋体" w:hAnsi="宋体" w:eastAsia="宋体" w:cs="宋体"/>
                <w:i w:val="0"/>
                <w:iCs w:val="0"/>
                <w:color w:val="000000"/>
                <w:sz w:val="20"/>
                <w:szCs w:val="20"/>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4C85F">
            <w:pPr>
              <w:jc w:val="center"/>
              <w:rPr>
                <w:rFonts w:hint="eastAsia" w:ascii="宋体" w:hAnsi="宋体" w:eastAsia="宋体" w:cs="宋体"/>
                <w:i w:val="0"/>
                <w:iCs w:val="0"/>
                <w:color w:val="000000"/>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3435F">
            <w:pPr>
              <w:rPr>
                <w:rFonts w:hint="eastAsia" w:ascii="宋体" w:hAnsi="宋体" w:eastAsia="宋体" w:cs="宋体"/>
                <w:i w:val="0"/>
                <w:iCs w:val="0"/>
                <w:color w:val="000000"/>
                <w:sz w:val="20"/>
                <w:szCs w:val="20"/>
                <w:u w:val="none"/>
              </w:rPr>
            </w:pPr>
          </w:p>
        </w:tc>
      </w:tr>
      <w:tr w14:paraId="4A4B0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D51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571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存储主机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DEA5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1、内置不低于1颗国产化芯片，具有不低于1个内置扬声器、2个VGA接口、2个HDMI接口、2个DP接口、2个V-DP接口；</w:t>
            </w:r>
          </w:p>
          <w:p w14:paraId="0F07C4AD">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2、支持N+M集群管理功能，当主机发生故障时，备机可替换故障主机继续录像，故障恢复后，备机可将存储的录像回传至故障主机；</w:t>
            </w:r>
          </w:p>
          <w:p w14:paraId="3E3F97D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3、支持提供主动注册服务，前端相机支持以主动注册方式添加到设备上；</w:t>
            </w:r>
          </w:p>
          <w:p w14:paraId="613A6EB2">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4、支持不低于256路IPC接入；</w:t>
            </w:r>
          </w:p>
          <w:p w14:paraId="27D03B67">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5、支持不少于24个内置SATA接口；</w:t>
            </w:r>
          </w:p>
          <w:p w14:paraId="0D41D73E">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5、支持前智能：人脸检测比对、视频结构化、周界防范、智能动检、立体行为分析、工装检测、人群分布、人数统计、热度图、车牌识别、声音检测、车辆密度、物品监控；</w:t>
            </w:r>
          </w:p>
          <w:p w14:paraId="68E4CED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6、支持电子云台，将全景画面中多个感兴趣区域提取成单独细节画面，当区域内有人、车目标经过时对应细节画面随目标跟踪展示；</w:t>
            </w:r>
          </w:p>
          <w:p w14:paraId="2AE36629">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7、■支持融合屏输出模式，支持将4个输出屏融合成1个完整画面。融合屏模式支持最大输出8K分辨率视频信号</w:t>
            </w:r>
            <w:r>
              <w:rPr>
                <w:rFonts w:hint="eastAsia" w:ascii="宋体" w:hAnsi="宋体" w:eastAsia="宋体" w:cs="宋体"/>
                <w:b/>
                <w:bCs/>
                <w:i w:val="0"/>
                <w:iCs w:val="0"/>
                <w:color w:val="000000"/>
                <w:sz w:val="20"/>
                <w:szCs w:val="20"/>
                <w:u w:val="none"/>
                <w:lang w:eastAsia="zh-CN"/>
              </w:rPr>
              <w:t>（投标文件中提供技术说明书或产品彩页或官网截图或检测报告）</w:t>
            </w:r>
            <w:r>
              <w:rPr>
                <w:rFonts w:hint="eastAsia" w:ascii="宋体" w:hAnsi="宋体" w:eastAsia="宋体" w:cs="宋体"/>
                <w:i w:val="0"/>
                <w:iCs w:val="0"/>
                <w:color w:val="000000"/>
                <w:sz w:val="20"/>
                <w:szCs w:val="20"/>
                <w:u w:val="none"/>
                <w:lang w:eastAsia="zh-CN"/>
              </w:rPr>
              <w:t>；</w:t>
            </w:r>
          </w:p>
          <w:p w14:paraId="1F98E4AC">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8、■内置扬声器，支持定时播报和视频联动播放语音，播放语音支持自定义</w:t>
            </w:r>
            <w:r>
              <w:rPr>
                <w:rFonts w:hint="eastAsia" w:ascii="宋体" w:hAnsi="宋体" w:eastAsia="宋体" w:cs="宋体"/>
                <w:b/>
                <w:bCs/>
                <w:i w:val="0"/>
                <w:iCs w:val="0"/>
                <w:color w:val="000000"/>
                <w:sz w:val="20"/>
                <w:szCs w:val="20"/>
                <w:u w:val="none"/>
                <w:lang w:eastAsia="zh-CN"/>
              </w:rPr>
              <w:t>（投标文件中提供技术说明书或产品彩页或官网截图或检测报告）</w:t>
            </w:r>
            <w:r>
              <w:rPr>
                <w:rFonts w:hint="eastAsia" w:ascii="宋体" w:hAnsi="宋体" w:eastAsia="宋体" w:cs="宋体"/>
                <w:i w:val="0"/>
                <w:iCs w:val="0"/>
                <w:color w:val="000000"/>
                <w:sz w:val="20"/>
                <w:szCs w:val="20"/>
                <w:u w:val="none"/>
                <w:lang w:eastAsia="zh-CN"/>
              </w:rPr>
              <w:t>；</w:t>
            </w:r>
          </w:p>
          <w:p w14:paraId="71019DB4">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9、支持断网续传功能，能对前端摄像机断网这段时间内SD卡中的录像回传到NVR；</w:t>
            </w:r>
          </w:p>
          <w:p w14:paraId="713081E6">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10、支持盘组管理功能，实现视频录像的定向存储，支持配额管理功能，实现按通道分配不同的录像天数进行存储。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29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4D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455B5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4CB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7B2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企业级硬盘</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7CE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8T；7200RPM；128M；SATA</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E49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AA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E616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B5E0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F664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传输部分</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31AB3">
            <w:pPr>
              <w:rPr>
                <w:rFonts w:hint="eastAsia" w:ascii="宋体" w:hAnsi="宋体" w:eastAsia="宋体" w:cs="宋体"/>
                <w:i w:val="0"/>
                <w:iCs w:val="0"/>
                <w:color w:val="000000"/>
                <w:sz w:val="20"/>
                <w:szCs w:val="20"/>
                <w:u w:val="none"/>
              </w:rPr>
            </w:pP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E5EBA">
            <w:pPr>
              <w:jc w:val="center"/>
              <w:rPr>
                <w:rFonts w:hint="eastAsia" w:ascii="宋体" w:hAnsi="宋体" w:eastAsia="宋体" w:cs="宋体"/>
                <w:i w:val="0"/>
                <w:iCs w:val="0"/>
                <w:color w:val="FF0000"/>
                <w:sz w:val="20"/>
                <w:szCs w:val="20"/>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A37E8">
            <w:pPr>
              <w:rPr>
                <w:rFonts w:hint="eastAsia" w:ascii="宋体" w:hAnsi="宋体" w:eastAsia="宋体" w:cs="宋体"/>
                <w:i w:val="0"/>
                <w:iCs w:val="0"/>
                <w:color w:val="000000"/>
                <w:sz w:val="20"/>
                <w:szCs w:val="20"/>
                <w:u w:val="none"/>
              </w:rPr>
            </w:pPr>
          </w:p>
        </w:tc>
      </w:tr>
      <w:tr w14:paraId="4BB3F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452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52C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24口交换机</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1AE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■交换容量≥672Gbps/6.72Tbps，包转发率≥171Mpps</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■固化10/100/1000M以太网端口≥24，1G SFP+光接口≥4个</w:t>
            </w:r>
            <w:r>
              <w:rPr>
                <w:rFonts w:hint="eastAsia" w:ascii="宋体" w:hAnsi="宋体" w:eastAsia="宋体" w:cs="宋体"/>
                <w:b/>
                <w:bCs/>
                <w:i w:val="0"/>
                <w:iCs w:val="0"/>
                <w:color w:val="000000"/>
                <w:kern w:val="0"/>
                <w:sz w:val="20"/>
                <w:szCs w:val="20"/>
                <w:u w:val="none"/>
                <w:lang w:val="en-US" w:eastAsia="zh-CN" w:bidi="ar"/>
              </w:rPr>
              <w:t>（投标文件中提供技术说明书或产品彩页或官网截图或检测报告）</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3.支持IPv4静态路由、RIP、OSPF、IPv6静态路由、RIPng、OSPFv3；；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4.设备采用无风扇静音设计；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5.支持虚拟化技术，实现设备的多虚一功能；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6.支持CLI、Telnet、Console、Web等方式管理；</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8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6（台）</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7D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59AF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9C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51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光模块</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CDA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SFP 千兆单模光模块，单模，1310nm，最大传输距离 10km，接头类型：LC；</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BF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B7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2D49C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97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994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光纤收发器1</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4E0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1.自动兼容IEEE802.3 IEEE802.3U 和IEEE802.3X等网络协议；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2.支持全双工和半双工传输模式，并带有自动协商能力；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3.支持MDI/MDI-X自适应，内带存储转发机制；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4.1个百兆光口，标配SC（可选ST、FC接口），1个10/100Mbps自适应以太网端口；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5.光纤接口类型：标配SC（可选ST、FC接口）；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6.IP20等级防护。</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92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E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5DD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DE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351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光纤收发器2</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D3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1.自动兼容IEEE802.3 IEEE802.3U 和IEEE802.3X等网络协议；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2.支持全双工和半双工传输模式，并带有自动协商能力；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3.支持MDI/MDI-X自适应，内带存储转发机制；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4.1个百兆光口，标配SC（可选ST、FC接口），4个10/100Mbps自适应以太网端口；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5.光纤接口类型：标配SC（可选ST、FC接口）；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6.IP20等级防护。</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AE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EF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04CD6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73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EF5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4口光纤终端盒</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B89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4口光纤终端盒满配、含耦合器、光纤尾纤、光纤跳线、熔接等</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FF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14（套）</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6D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9B07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70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DE9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4芯单模光缆</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B04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1.符合标准：ISO/IEC 11801:2008；TIA/EIA-568-C.3；YD/T769-2010；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2.全截面阻水结构，松套管填充特种油膏，确保良好的阻水防潮性能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3.衰减＠20℃（DB/Km）：＠1310≤0.36，＠1550≤0.22；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4.光纤规格：B1.3（9/125μm）；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5.包层不圆度：≤1％；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6.铠装料: 钢带；钢带、皱纹钢带；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7.加强件: 磷化圆钢丝；</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8.动态/静态弯曲半径: 20D/10D；25D/12.5D；</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9.允许压扁力（N/100mm）: 300/1000；1000/3000；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10.允许拉伸力（N）: 600/1500；1000/3000；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11.X表示芯数：4芯；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12.外护套颜色：黑色；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13.存储/工作温度：-40℃～+60℃；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14.敷设方式：管道、架空、隧道等敷设（轻铠）；管道、隧道、直埋（重铠）；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15.具体数量根据现场实际情况而定。费用包含在报价中，中标后采购人不再增加任何费用。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5F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F3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64B1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A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DBD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六类非屏蔽双绞线线</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789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1.符合标准YD/T 1019-2023；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2.护套材料：PVC；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3.绝缘层材料：PE；</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4.导体直径：0.57±0.02 mm，U/UTP；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5.具有十字骨架，电缆外径：6.1±0.2 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6.燃烧性能：通过YD/T 1019-2023中规定的单根电缆火焰垂直蔓延试验；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7.单根导体直流电阻：≤7.5Ω/100m at 20℃；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8.工作温度：-20℃～60℃；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9.具体数量根据现场实际情况而定。费用包含在报价中，中标后采购人不再增加任何费用。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034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7625（米）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D2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13D3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D8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A50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电源线</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EAD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1.≥RVV 2*1.0；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2.执行标准：GB/T5023.5-2008；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3.额定电压：U0/U 为 300/500V；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4.导体：多股裸铜丝绞合；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5.绝缘材料：PVC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6.护套材料：PVC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7.额定温度：70℃；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8.导体芯数和标称截面 2×1.0mm²；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9．绝缘厚度规定值 0.7mm；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10.护套厚度规定值 0.8mm；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11.平均外径尺寸下限 6.8mm 上 8.6mm；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12.20℃时导体电阻最大值 13.3Ω/km；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13.70℃时绝缘电阻最小值 0.010MΩ/km；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14.具体数量根据现场实际情况而定。费用包含在报价中，中标后采购人不再增加任何费用。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57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7625（米）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E3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106E9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FB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EE0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配管1</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C8E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1.直径 25mm，壁厚 2.0mm，温度：-60 至+60℃；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2.本项目所使用的 PE 管必须符国家和行业标准，整体需满足绿色环保要求，工艺标准遵照国家建筑装饰相关规范。中标人应无条件满足专业环境要求与采购人的要求，承担因未通过擅自施工或拒绝施工等造成的一切责任与损失，工期损失由中标人承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3.具体数量根据现场实际情况而定，费用包含在报价中，中标后采购人不不再增加任何费用。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7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AED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6FF91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39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986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配管2</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D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1.直径 25mm，壁厚 2.0mm，温度：-60 至+60℃。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2.本项目所使用的 PVC 管必须符国家和行业标准，整体需满足绿色环保要求，工艺标准遵照国家建筑装饰相关规范。中标人应无条件满足专业环境要求与采购人的要求，承担因未通过擅自施工或拒绝施工等造成的一切责任与损失，工期损失由中标人承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3.具体数量根据现场实际情况而定，费用包含在报价中，中标后采购人不再增加任何费用。</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279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2480（米）</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54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w:t>
            </w:r>
          </w:p>
        </w:tc>
      </w:tr>
      <w:tr w14:paraId="31EA6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2AE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76E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5BA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包含本项目实施过程中所有需要的水晶头、铁丝、胶布、扎带、金属软管等。</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4F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D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B204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B3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C1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配套工程与服务</w:t>
            </w:r>
          </w:p>
        </w:tc>
        <w:tc>
          <w:tcPr>
            <w:tcW w:w="30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B74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1.中标人需根据现场施工环境专业性规范和采购人要求进行设计，将设计图纸和施工平面图提交采购人审核确认后方可施工。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本项目实施过程中包含但不限于室内外强弱电、挖坑回填、破路及修复等，所涉及的所有线缆辅材必须符合国家相关标准，施工过程中破坏植被树木等中标人要恢复原样，中标人根据现场实际情况而定，不在中标价以外增加任何费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项目验收时，中标人须提供项目实施阶段的质量管理等资料及隐蔽工程资料；提供完整的技术资料，包括但不仅限于：技术说明书、使用说明书、用户手册（中文）、设备安装调试技术资料、线路图及招标文件中要求的其它文件资料；提供完整的工程竣工图纸不少于三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4.室外施工要求：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（1）室外主干光缆走线方式采用校园内地下管网敷设方式，光缆敷设不采用架空方式。室内互联光缆施工利用楼宇内现有垂直桥架走线，对于没有桥架的楼宇，需新增桥架或者 PVC 管道。室外光纤或线路按弱电管路施工应从弱电井进入各楼宇弱电间。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（2）室外布线时确需破坏绿化、水泥、沥青路面等路面，完工后需要及时修复。其中绿化路面开挖深度不低于 30cm；水泥等硬化路面深度不低于 40cm管。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路面恢复：涉及人行道部分，在管路填挖部分压实后要将原有的布道砖恢复原状，包括布道砖安装顺序、花纹、与附近保持相同高度，施工完毕后效果与破坏前尽量一致。植被恢复：对于管路过植被区域，在管路恢复后，将植被重新恢复，做到与施工前效果整体一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（4）对于施工过程中产生的建筑垃圾等要及时清理，运放至采购人指定位置，保持施工现场整洁。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（5）所有放在室外的设备，箱体都要做防水处理，立杆出线孔至摄像机尾部线缆须外套黑色波纹管。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室外立杆的监控点，涉及到的设备有摄像机、电源、避雷针等，每个监控杆安装之前都在监控点的位置制作混凝土基础，并在基础上做监控杆的预埋件，待混凝土强度达到固定指标后，将监控杆固定在预埋件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5.室内施工要求：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（1）本次楼内监控点信号线缆采用六类非屏蔽双绞线，互联光缆采用单模光缆。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（2）采用“壁挂安装方式”的监控点大多数是安装在楼内、室外墙角处。在此部分涉及到的设备有摄像机、摄像机支架等设备，每个设备采用膨胀螺栓的固定方式。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（3）施工过程中，要确保电源线与弱电线缆之间平行距离不得小于 300mm，避免信号干扰。线缆在沿墙、围栏、墙面、立杆等敷设方式均采用 PVC 套管或沿桥架保护辅设，监控点位末端需要采用软管等方式对线路进行保护，不允许线缆直接裸露。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6.强电改造要求根据现场设备实际负荷，配置不低于YJV3*2.5平方电缆（从楼层强电间引出）。</w:t>
            </w:r>
          </w:p>
        </w:tc>
        <w:tc>
          <w:tcPr>
            <w:tcW w:w="4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446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1（项）</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47E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bl>
    <w:p w14:paraId="024A3F5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color w:val="auto"/>
          <w:sz w:val="24"/>
          <w:szCs w:val="18"/>
        </w:rPr>
      </w:pPr>
    </w:p>
    <w:p w14:paraId="5065AD4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hAnsi="宋体" w:eastAsia="宋体"/>
          <w:b/>
          <w:color w:val="auto"/>
          <w:sz w:val="24"/>
          <w:szCs w:val="18"/>
        </w:rPr>
      </w:pPr>
      <w:r>
        <w:rPr>
          <w:rFonts w:ascii="宋体" w:hAnsi="宋体" w:eastAsia="宋体"/>
          <w:b/>
          <w:color w:val="auto"/>
          <w:sz w:val="24"/>
          <w:szCs w:val="18"/>
        </w:rPr>
        <w:t>注：上表中所属行业划“/ ”的品目，投标人在填写《中小企业声明函》时无需填写</w:t>
      </w:r>
      <w:r>
        <w:rPr>
          <w:rFonts w:hint="eastAsia" w:ascii="宋体" w:hAnsi="宋体" w:eastAsia="宋体"/>
          <w:b/>
          <w:color w:val="auto"/>
          <w:sz w:val="24"/>
          <w:szCs w:val="18"/>
        </w:rPr>
        <w:t>。</w:t>
      </w:r>
    </w:p>
    <w:p w14:paraId="498FA06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b/>
          <w:color w:val="auto"/>
          <w:sz w:val="24"/>
          <w:szCs w:val="18"/>
          <w:lang w:eastAsia="zh-CN"/>
        </w:rPr>
      </w:pPr>
      <w:r>
        <w:rPr>
          <w:rFonts w:hint="eastAsia" w:ascii="宋体" w:hAnsi="宋体" w:eastAsia="宋体"/>
          <w:b/>
          <w:color w:val="auto"/>
          <w:sz w:val="24"/>
          <w:szCs w:val="18"/>
          <w:lang w:eastAsia="zh-CN"/>
        </w:rPr>
        <w:t>三、报价要求</w:t>
      </w:r>
    </w:p>
    <w:p w14:paraId="6BBA2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color w:val="auto"/>
          <w:sz w:val="24"/>
          <w:szCs w:val="28"/>
        </w:rPr>
      </w:pPr>
      <w:r>
        <w:rPr>
          <w:rFonts w:hint="eastAsia" w:ascii="Times New Roman" w:hAnsi="Times New Roman" w:eastAsia="宋体" w:cs="Times New Roman"/>
          <w:color w:val="auto"/>
          <w:sz w:val="24"/>
          <w:szCs w:val="28"/>
        </w:rPr>
        <w:t>本项目采用总价报价方式，本次项目实际发生的所有辅材及实施费用、硬件及软件设备安装调试、使用培训、线路测试服务等费用均包含在报价中，中标后中标人必须确保项目能够正常实施和高标准运行，采购人不再支付除中标价以外的其他任何费用。</w:t>
      </w:r>
    </w:p>
    <w:p w14:paraId="1034D71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b/>
          <w:color w:val="auto"/>
          <w:sz w:val="24"/>
          <w:szCs w:val="18"/>
          <w:lang w:eastAsia="zh-CN"/>
        </w:rPr>
      </w:pPr>
      <w:r>
        <w:rPr>
          <w:rFonts w:hint="eastAsia" w:ascii="宋体" w:hAnsi="宋体" w:eastAsia="宋体"/>
          <w:b/>
          <w:color w:val="auto"/>
          <w:sz w:val="24"/>
          <w:szCs w:val="18"/>
          <w:lang w:eastAsia="zh-CN"/>
        </w:rPr>
        <w:t>四、安装调试、质保及售后服务要求</w:t>
      </w:r>
    </w:p>
    <w:p w14:paraId="3BB019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color w:val="auto"/>
          <w:sz w:val="24"/>
          <w:szCs w:val="28"/>
        </w:rPr>
      </w:pPr>
      <w:r>
        <w:rPr>
          <w:rFonts w:hint="eastAsia" w:ascii="Times New Roman" w:hAnsi="Times New Roman" w:eastAsia="宋体" w:cs="Times New Roman"/>
          <w:color w:val="auto"/>
          <w:sz w:val="24"/>
          <w:szCs w:val="28"/>
        </w:rPr>
        <w:t>（一）</w:t>
      </w:r>
      <w:r>
        <w:rPr>
          <w:rFonts w:ascii="Times New Roman" w:hAnsi="Times New Roman" w:eastAsia="宋体" w:cs="Times New Roman"/>
          <w:color w:val="auto"/>
          <w:sz w:val="24"/>
          <w:szCs w:val="28"/>
        </w:rPr>
        <w:t>本项目为交钥匙工程，本项目的所有软、硬件</w:t>
      </w:r>
      <w:r>
        <w:rPr>
          <w:rFonts w:hint="eastAsia" w:ascii="Times New Roman" w:hAnsi="Times New Roman" w:eastAsia="宋体" w:cs="Times New Roman"/>
          <w:color w:val="auto"/>
          <w:sz w:val="24"/>
          <w:szCs w:val="28"/>
        </w:rPr>
        <w:t>（</w:t>
      </w:r>
      <w:r>
        <w:rPr>
          <w:rFonts w:ascii="Times New Roman" w:hAnsi="Times New Roman" w:eastAsia="宋体" w:cs="Times New Roman"/>
          <w:color w:val="auto"/>
          <w:sz w:val="24"/>
          <w:szCs w:val="28"/>
        </w:rPr>
        <w:t>如线缆、软件、硬件模块等，包括未列出而系统实施又必需的软件、硬件</w:t>
      </w:r>
      <w:r>
        <w:rPr>
          <w:rFonts w:hint="eastAsia" w:ascii="Times New Roman" w:hAnsi="Times New Roman" w:eastAsia="宋体" w:cs="Times New Roman"/>
          <w:color w:val="auto"/>
          <w:sz w:val="24"/>
          <w:szCs w:val="28"/>
        </w:rPr>
        <w:t>）</w:t>
      </w:r>
      <w:r>
        <w:rPr>
          <w:rFonts w:ascii="Times New Roman" w:hAnsi="Times New Roman" w:eastAsia="宋体" w:cs="Times New Roman"/>
          <w:color w:val="auto"/>
          <w:sz w:val="24"/>
          <w:szCs w:val="28"/>
        </w:rPr>
        <w:t>须配齐以构成一套完整实用系统，中标人有义务保证采购人系统的完整性，如项目实施过程中因缺少辅材、配件或服务导致采购人系统无法正常运行，中标人须</w:t>
      </w:r>
      <w:r>
        <w:rPr>
          <w:rFonts w:hint="eastAsia" w:ascii="Times New Roman" w:hAnsi="Times New Roman" w:eastAsia="宋体" w:cs="Times New Roman"/>
          <w:color w:val="auto"/>
          <w:sz w:val="24"/>
          <w:szCs w:val="28"/>
        </w:rPr>
        <w:t>按要求</w:t>
      </w:r>
      <w:r>
        <w:rPr>
          <w:rFonts w:ascii="Times New Roman" w:hAnsi="Times New Roman" w:eastAsia="宋体" w:cs="Times New Roman"/>
          <w:color w:val="auto"/>
          <w:sz w:val="24"/>
          <w:szCs w:val="28"/>
        </w:rPr>
        <w:t>提供</w:t>
      </w:r>
      <w:r>
        <w:rPr>
          <w:rFonts w:hint="eastAsia" w:ascii="Times New Roman" w:hAnsi="Times New Roman" w:eastAsia="宋体" w:cs="Times New Roman"/>
          <w:color w:val="auto"/>
          <w:sz w:val="24"/>
          <w:szCs w:val="28"/>
        </w:rPr>
        <w:t>，采购人不额外增加费用</w:t>
      </w:r>
      <w:r>
        <w:rPr>
          <w:rFonts w:ascii="Times New Roman" w:hAnsi="Times New Roman" w:eastAsia="宋体" w:cs="Times New Roman"/>
          <w:color w:val="auto"/>
          <w:sz w:val="24"/>
          <w:szCs w:val="28"/>
        </w:rPr>
        <w:t>。</w:t>
      </w:r>
    </w:p>
    <w:p w14:paraId="29423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color w:val="auto"/>
          <w:sz w:val="24"/>
          <w:szCs w:val="28"/>
        </w:rPr>
      </w:pPr>
      <w:r>
        <w:rPr>
          <w:rFonts w:hint="eastAsia" w:ascii="Times New Roman" w:hAnsi="Times New Roman" w:eastAsia="宋体" w:cs="Times New Roman"/>
          <w:color w:val="auto"/>
          <w:sz w:val="24"/>
          <w:szCs w:val="28"/>
        </w:rPr>
        <w:t>（二）</w:t>
      </w:r>
      <w:r>
        <w:rPr>
          <w:rFonts w:hint="eastAsia" w:ascii="Times New Roman" w:hAnsi="Times New Roman" w:eastAsia="宋体" w:cs="Times New Roman"/>
          <w:color w:val="auto"/>
          <w:sz w:val="24"/>
          <w:szCs w:val="28"/>
          <w:lang w:val="en-US" w:eastAsia="zh-CN"/>
        </w:rPr>
        <w:t>中标</w:t>
      </w:r>
      <w:r>
        <w:rPr>
          <w:rFonts w:ascii="Times New Roman" w:hAnsi="Times New Roman" w:eastAsia="宋体" w:cs="Times New Roman"/>
          <w:color w:val="auto"/>
          <w:sz w:val="24"/>
          <w:szCs w:val="28"/>
        </w:rPr>
        <w:t>人需对</w:t>
      </w:r>
      <w:r>
        <w:rPr>
          <w:rFonts w:hint="eastAsia" w:ascii="Times New Roman" w:hAnsi="Times New Roman" w:eastAsia="宋体" w:cs="Times New Roman"/>
          <w:color w:val="auto"/>
          <w:sz w:val="24"/>
          <w:szCs w:val="28"/>
        </w:rPr>
        <w:t>所投的</w:t>
      </w:r>
      <w:r>
        <w:rPr>
          <w:rFonts w:hint="eastAsia" w:ascii="Times New Roman" w:hAnsi="Times New Roman" w:eastAsia="宋体" w:cs="Times New Roman"/>
          <w:color w:val="auto"/>
          <w:sz w:val="24"/>
          <w:szCs w:val="28"/>
          <w:lang w:val="en-US" w:eastAsia="zh-CN"/>
        </w:rPr>
        <w:t>安防监控</w:t>
      </w:r>
      <w:r>
        <w:rPr>
          <w:rFonts w:hint="eastAsia" w:ascii="Times New Roman" w:hAnsi="Times New Roman" w:eastAsia="宋体" w:cs="Times New Roman"/>
          <w:color w:val="auto"/>
          <w:sz w:val="24"/>
          <w:szCs w:val="28"/>
        </w:rPr>
        <w:t>产品（各类</w:t>
      </w:r>
      <w:r>
        <w:rPr>
          <w:rFonts w:hint="eastAsia" w:ascii="Times New Roman" w:hAnsi="Times New Roman" w:eastAsia="宋体" w:cs="Times New Roman"/>
          <w:color w:val="auto"/>
          <w:sz w:val="24"/>
          <w:szCs w:val="28"/>
          <w:lang w:val="en-US" w:eastAsia="zh-CN"/>
        </w:rPr>
        <w:t>摄像机</w:t>
      </w:r>
      <w:r>
        <w:rPr>
          <w:rFonts w:hint="eastAsia" w:ascii="Times New Roman" w:hAnsi="Times New Roman" w:eastAsia="宋体" w:cs="Times New Roman"/>
          <w:color w:val="auto"/>
          <w:sz w:val="24"/>
          <w:szCs w:val="28"/>
        </w:rPr>
        <w:t>、交换机等）</w:t>
      </w:r>
      <w:r>
        <w:rPr>
          <w:rFonts w:ascii="Times New Roman" w:hAnsi="Times New Roman" w:eastAsia="宋体" w:cs="Times New Roman"/>
          <w:color w:val="auto"/>
          <w:sz w:val="24"/>
          <w:szCs w:val="28"/>
        </w:rPr>
        <w:t>需提供2小时内现场响应服务；针对</w:t>
      </w:r>
      <w:r>
        <w:rPr>
          <w:rFonts w:hint="eastAsia" w:ascii="Times New Roman" w:hAnsi="Times New Roman" w:eastAsia="宋体" w:cs="Times New Roman"/>
          <w:color w:val="auto"/>
          <w:sz w:val="24"/>
          <w:szCs w:val="28"/>
          <w:lang w:val="en-US" w:eastAsia="zh-CN"/>
        </w:rPr>
        <w:t>安防监控</w:t>
      </w:r>
      <w:r>
        <w:rPr>
          <w:rFonts w:hint="eastAsia" w:ascii="Times New Roman" w:hAnsi="Times New Roman" w:eastAsia="宋体" w:cs="Times New Roman"/>
          <w:color w:val="auto"/>
          <w:sz w:val="24"/>
          <w:szCs w:val="28"/>
        </w:rPr>
        <w:t>产品出现的</w:t>
      </w:r>
      <w:r>
        <w:rPr>
          <w:rFonts w:ascii="Times New Roman" w:hAnsi="Times New Roman" w:eastAsia="宋体" w:cs="Times New Roman"/>
          <w:color w:val="auto"/>
          <w:sz w:val="24"/>
          <w:szCs w:val="28"/>
        </w:rPr>
        <w:t>故障问题，需提供1小时内现场响应服务。</w:t>
      </w:r>
    </w:p>
    <w:p w14:paraId="306B2B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color w:val="auto"/>
          <w:sz w:val="24"/>
          <w:szCs w:val="28"/>
        </w:rPr>
      </w:pPr>
      <w:r>
        <w:rPr>
          <w:rFonts w:hint="eastAsia" w:ascii="Times New Roman" w:hAnsi="Times New Roman" w:eastAsia="宋体" w:cs="Times New Roman"/>
          <w:color w:val="auto"/>
          <w:sz w:val="24"/>
          <w:szCs w:val="28"/>
        </w:rPr>
        <w:t>（三）</w:t>
      </w:r>
      <w:r>
        <w:rPr>
          <w:rFonts w:ascii="Times New Roman" w:hAnsi="Times New Roman" w:eastAsia="宋体" w:cs="Times New Roman"/>
          <w:color w:val="auto"/>
          <w:sz w:val="24"/>
          <w:szCs w:val="28"/>
        </w:rPr>
        <w:t>免费质保期内的上门维修，中标后</w:t>
      </w:r>
      <w:r>
        <w:rPr>
          <w:rFonts w:hint="eastAsia" w:ascii="Times New Roman" w:hAnsi="Times New Roman" w:eastAsia="宋体" w:cs="Times New Roman"/>
          <w:color w:val="auto"/>
          <w:sz w:val="24"/>
          <w:szCs w:val="28"/>
        </w:rPr>
        <w:t>采购</w:t>
      </w:r>
      <w:r>
        <w:rPr>
          <w:rFonts w:ascii="Times New Roman" w:hAnsi="Times New Roman" w:eastAsia="宋体" w:cs="Times New Roman"/>
          <w:color w:val="auto"/>
          <w:sz w:val="24"/>
          <w:szCs w:val="28"/>
        </w:rPr>
        <w:t>人不再支付除中标价以外的其他任何费用。</w:t>
      </w:r>
    </w:p>
    <w:p w14:paraId="1F80B3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宋体" w:cs="Times New Roman"/>
          <w:color w:val="auto"/>
          <w:sz w:val="24"/>
          <w:szCs w:val="28"/>
        </w:rPr>
      </w:pPr>
      <w:r>
        <w:rPr>
          <w:rFonts w:hint="eastAsia" w:ascii="宋体" w:hAnsi="宋体" w:eastAsia="宋体" w:cs="宋体"/>
          <w:color w:val="auto"/>
          <w:kern w:val="0"/>
          <w:sz w:val="24"/>
          <w:szCs w:val="24"/>
        </w:rPr>
        <w:t>（四）</w:t>
      </w:r>
      <w:r>
        <w:rPr>
          <w:rFonts w:hint="eastAsia" w:ascii="宋体" w:hAnsi="宋体" w:eastAsia="宋体" w:cs="宋体"/>
          <w:b/>
          <w:bCs/>
          <w:color w:val="auto"/>
          <w:kern w:val="0"/>
          <w:sz w:val="24"/>
          <w:szCs w:val="24"/>
        </w:rPr>
        <w:t>投标人</w:t>
      </w:r>
      <w:r>
        <w:rPr>
          <w:rFonts w:ascii="宋体" w:hAnsi="宋体" w:eastAsia="宋体" w:cs="宋体"/>
          <w:b/>
          <w:bCs/>
          <w:color w:val="auto"/>
          <w:kern w:val="0"/>
          <w:sz w:val="24"/>
          <w:szCs w:val="24"/>
        </w:rPr>
        <w:t>所投</w:t>
      </w:r>
      <w:r>
        <w:rPr>
          <w:rFonts w:hint="eastAsia" w:ascii="宋体" w:hAnsi="宋体" w:eastAsia="宋体" w:cs="宋体"/>
          <w:b/>
          <w:bCs/>
          <w:color w:val="auto"/>
          <w:kern w:val="0"/>
          <w:sz w:val="24"/>
          <w:szCs w:val="24"/>
          <w:lang w:val="en-US" w:eastAsia="zh-CN"/>
        </w:rPr>
        <w:t>安防监控产品</w:t>
      </w:r>
      <w:r>
        <w:rPr>
          <w:rFonts w:ascii="宋体" w:hAnsi="宋体" w:eastAsia="宋体" w:cs="宋体"/>
          <w:b/>
          <w:bCs/>
          <w:color w:val="auto"/>
          <w:kern w:val="0"/>
          <w:sz w:val="24"/>
          <w:szCs w:val="24"/>
        </w:rPr>
        <w:t>须与</w:t>
      </w:r>
      <w:r>
        <w:rPr>
          <w:rFonts w:hint="eastAsia" w:ascii="宋体" w:hAnsi="宋体" w:eastAsia="宋体" w:cs="宋体"/>
          <w:b/>
          <w:bCs/>
          <w:color w:val="auto"/>
          <w:kern w:val="0"/>
          <w:sz w:val="24"/>
          <w:szCs w:val="24"/>
        </w:rPr>
        <w:t>采购人</w:t>
      </w:r>
      <w:r>
        <w:rPr>
          <w:rFonts w:hint="eastAsia" w:ascii="宋体" w:hAnsi="宋体" w:eastAsia="宋体" w:cs="宋体"/>
          <w:b/>
          <w:bCs/>
          <w:color w:val="auto"/>
          <w:kern w:val="0"/>
          <w:sz w:val="24"/>
          <w:szCs w:val="24"/>
          <w:lang w:val="en-US" w:eastAsia="zh-CN"/>
        </w:rPr>
        <w:t>现</w:t>
      </w:r>
      <w:r>
        <w:rPr>
          <w:rFonts w:ascii="宋体" w:hAnsi="宋体" w:eastAsia="宋体" w:cs="宋体"/>
          <w:b/>
          <w:bCs/>
          <w:color w:val="auto"/>
          <w:kern w:val="0"/>
          <w:sz w:val="24"/>
          <w:szCs w:val="24"/>
        </w:rPr>
        <w:t>有校园</w:t>
      </w:r>
      <w:r>
        <w:rPr>
          <w:rFonts w:hint="eastAsia" w:ascii="宋体" w:hAnsi="宋体" w:eastAsia="宋体" w:cs="宋体"/>
          <w:b/>
          <w:bCs/>
          <w:color w:val="auto"/>
          <w:kern w:val="0"/>
          <w:sz w:val="24"/>
          <w:szCs w:val="24"/>
          <w:lang w:val="en-US" w:eastAsia="zh-CN"/>
        </w:rPr>
        <w:t>视频监控</w:t>
      </w:r>
      <w:r>
        <w:rPr>
          <w:rFonts w:ascii="宋体" w:hAnsi="宋体" w:eastAsia="宋体" w:cs="宋体"/>
          <w:b/>
          <w:bCs/>
          <w:color w:val="auto"/>
          <w:kern w:val="0"/>
          <w:sz w:val="24"/>
          <w:szCs w:val="24"/>
        </w:rPr>
        <w:t>完全兼容，支持并实现与</w:t>
      </w:r>
      <w:r>
        <w:rPr>
          <w:rFonts w:hint="eastAsia" w:ascii="宋体" w:hAnsi="宋体" w:eastAsia="宋体" w:cs="宋体"/>
          <w:b/>
          <w:bCs/>
          <w:color w:val="auto"/>
          <w:kern w:val="0"/>
          <w:sz w:val="24"/>
          <w:szCs w:val="24"/>
        </w:rPr>
        <w:t>采购人</w:t>
      </w:r>
      <w:r>
        <w:rPr>
          <w:rFonts w:ascii="宋体" w:hAnsi="宋体" w:eastAsia="宋体" w:cs="宋体"/>
          <w:b/>
          <w:bCs/>
          <w:color w:val="auto"/>
          <w:kern w:val="0"/>
          <w:sz w:val="24"/>
          <w:szCs w:val="24"/>
        </w:rPr>
        <w:t>现有</w:t>
      </w:r>
      <w:r>
        <w:rPr>
          <w:rFonts w:hint="eastAsia" w:ascii="宋体" w:hAnsi="宋体" w:eastAsia="宋体" w:cs="宋体"/>
          <w:b/>
          <w:bCs/>
          <w:color w:val="auto"/>
          <w:kern w:val="0"/>
          <w:sz w:val="24"/>
          <w:szCs w:val="24"/>
          <w:lang w:val="en-US" w:eastAsia="zh-CN"/>
        </w:rPr>
        <w:t>安防监控管理平台</w:t>
      </w:r>
      <w:r>
        <w:rPr>
          <w:rFonts w:ascii="宋体" w:hAnsi="宋体" w:eastAsia="宋体" w:cs="宋体"/>
          <w:b/>
          <w:bCs/>
          <w:color w:val="auto"/>
          <w:kern w:val="0"/>
          <w:sz w:val="24"/>
          <w:szCs w:val="24"/>
        </w:rPr>
        <w:t>的</w:t>
      </w:r>
      <w:r>
        <w:rPr>
          <w:rFonts w:hint="eastAsia" w:ascii="宋体" w:hAnsi="宋体" w:eastAsia="宋体" w:cs="宋体"/>
          <w:b/>
          <w:bCs/>
          <w:color w:val="auto"/>
          <w:kern w:val="0"/>
          <w:sz w:val="24"/>
          <w:szCs w:val="24"/>
        </w:rPr>
        <w:t>兼容</w:t>
      </w:r>
      <w:r>
        <w:rPr>
          <w:rFonts w:ascii="宋体" w:hAnsi="宋体" w:eastAsia="宋体" w:cs="宋体"/>
          <w:b/>
          <w:bCs/>
          <w:color w:val="auto"/>
          <w:kern w:val="0"/>
          <w:sz w:val="24"/>
          <w:szCs w:val="24"/>
        </w:rPr>
        <w:t>，实现统一管理的功能</w:t>
      </w:r>
      <w:r>
        <w:rPr>
          <w:rFonts w:hint="eastAsia" w:ascii="宋体" w:hAnsi="宋体" w:eastAsia="宋体" w:cs="宋体"/>
          <w:b/>
          <w:bCs/>
          <w:color w:val="auto"/>
          <w:kern w:val="0"/>
          <w:sz w:val="24"/>
          <w:szCs w:val="24"/>
        </w:rPr>
        <w:t>，本项对接费在投标人投标报价内，采购人不额外支付费用。投标文件中须提供兼容性承诺函（详见格式十四、承诺函），否则投标无效。</w:t>
      </w:r>
    </w:p>
    <w:p w14:paraId="09FA0AE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b/>
          <w:color w:val="auto"/>
          <w:sz w:val="24"/>
          <w:szCs w:val="18"/>
          <w:lang w:eastAsia="zh-CN"/>
        </w:rPr>
      </w:pPr>
      <w:r>
        <w:rPr>
          <w:rFonts w:hint="eastAsia" w:ascii="宋体" w:hAnsi="宋体" w:eastAsia="宋体"/>
          <w:b/>
          <w:color w:val="auto"/>
          <w:sz w:val="24"/>
          <w:szCs w:val="18"/>
          <w:lang w:eastAsia="zh-CN"/>
        </w:rPr>
        <w:t>五、其他要求</w:t>
      </w:r>
    </w:p>
    <w:p w14:paraId="07FCF26C">
      <w:pPr>
        <w:spacing w:line="360" w:lineRule="auto"/>
        <w:ind w:firstLine="480"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项目实施过程中参与人员必须严格遵守学校及施工相关的安全管理规定，中标人应制定避免人身伤害、伤亡和财产损失相关预案，同时提供劳动保护、意外补偿和相关保障措施，相关费用包含在本项目报价中。如发生人员人身伤害或伤亡、财产损失的，中标人应及时处理并承担相关经济和道义上的责任。</w:t>
      </w:r>
    </w:p>
    <w:p w14:paraId="1CC6EAA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在施工进场前必须编制详细的施工方案，施工方案必须包含但不限于：深化设计方案、监控摄像机的点位分布图、施工方案、施工时间计划等内容，且须经过学校确认无误后方可施工。在施工过程中不得影响学校的正常教学，施工时间必须得到</w:t>
      </w:r>
      <w:r>
        <w:rPr>
          <w:rFonts w:hint="eastAsia" w:asciiTheme="minorEastAsia" w:hAnsiTheme="minorEastAsia" w:eastAsiaTheme="minorEastAsia" w:cstheme="minorEastAsia"/>
          <w:color w:val="auto"/>
          <w:sz w:val="24"/>
          <w:szCs w:val="24"/>
          <w:highlight w:val="none"/>
          <w:lang w:eastAsia="zh-CN"/>
        </w:rPr>
        <w:t>采购人</w:t>
      </w:r>
      <w:r>
        <w:rPr>
          <w:rFonts w:hint="eastAsia" w:asciiTheme="minorEastAsia" w:hAnsiTheme="minorEastAsia" w:eastAsiaTheme="minorEastAsia" w:cstheme="minorEastAsia"/>
          <w:color w:val="auto"/>
          <w:sz w:val="24"/>
          <w:szCs w:val="24"/>
          <w:highlight w:val="none"/>
        </w:rPr>
        <w:t>确认后方可施工。</w:t>
      </w:r>
    </w:p>
    <w:p w14:paraId="7B6FB381">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现场具体情况由各投标人自行勘测，由于投标人对项目的理解偏差，造成成本偏差或损失，由投标人自行承担。</w:t>
      </w:r>
    </w:p>
    <w:p w14:paraId="14158B01">
      <w:pPr>
        <w:pStyle w:val="8"/>
        <w:rPr>
          <w:rFonts w:hint="eastAsia"/>
        </w:rPr>
      </w:pPr>
    </w:p>
    <w:p w14:paraId="3A62D654">
      <w:pPr>
        <w:spacing w:line="360" w:lineRule="auto"/>
        <w:ind w:firstLine="562" w:firstLineChars="200"/>
        <w:rPr>
          <w:rFonts w:hint="eastAsia" w:ascii="宋体" w:hAnsi="宋体" w:eastAsia="宋体"/>
          <w:b/>
          <w:sz w:val="28"/>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9F569A16-419B-4E91-A116-7C7D2CDD7436}"/>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670C9">
    <w:pPr>
      <w:pStyle w:val="15"/>
      <w:jc w:val="center"/>
      <w:rPr>
        <w:rFonts w:asciiTheme="minorEastAsia" w:hAnsiTheme="minorEastAsia" w:eastAsiaTheme="minorEastAsia"/>
        <w:sz w:val="21"/>
        <w:szCs w:val="21"/>
      </w:rPr>
    </w:pPr>
    <w:r>
      <w:rPr>
        <w:rFonts w:asciiTheme="minorEastAsia" w:hAnsiTheme="minorEastAsia" w:eastAsiaTheme="minorEastAsia"/>
        <w:b/>
        <w:bCs/>
        <w:sz w:val="21"/>
        <w:szCs w:val="21"/>
      </w:rPr>
      <w:t>第</w:t>
    </w:r>
    <w:sdt>
      <w:sdtPr>
        <w:rPr>
          <w:rFonts w:asciiTheme="minorEastAsia" w:hAnsiTheme="minorEastAsia" w:eastAsiaTheme="minorEastAsia"/>
          <w:b/>
          <w:bCs/>
          <w:sz w:val="21"/>
          <w:szCs w:val="21"/>
        </w:rPr>
        <w:id w:val="-864518636"/>
      </w:sdtPr>
      <w:sdtEndPr>
        <w:rPr>
          <w:rFonts w:asciiTheme="minorEastAsia" w:hAnsiTheme="minorEastAsia" w:eastAsiaTheme="minorEastAsia"/>
          <w:b/>
          <w:bCs/>
          <w:sz w:val="21"/>
          <w:szCs w:val="21"/>
        </w:rPr>
      </w:sdtEndPr>
      <w:sdtContent>
        <w:sdt>
          <w:sdtPr>
            <w:rPr>
              <w:rFonts w:asciiTheme="minorEastAsia" w:hAnsiTheme="minorEastAsia" w:eastAsiaTheme="minorEastAsia"/>
              <w:b/>
              <w:bCs/>
              <w:sz w:val="21"/>
              <w:szCs w:val="21"/>
            </w:rPr>
            <w:id w:val="-1669238322"/>
          </w:sdtPr>
          <w:sdtEndPr>
            <w:rPr>
              <w:rFonts w:asciiTheme="minorEastAsia" w:hAnsiTheme="minorEastAsia" w:eastAsiaTheme="minorEastAsia"/>
              <w:b/>
              <w:bCs/>
              <w:sz w:val="21"/>
              <w:szCs w:val="21"/>
            </w:rPr>
          </w:sdtEndPr>
          <w:sdtContent>
            <w:r>
              <w:rPr>
                <w:rFonts w:asciiTheme="minorEastAsia" w:hAnsiTheme="minorEastAsia" w:eastAsiaTheme="minorEastAsia"/>
                <w:b/>
                <w:bCs/>
                <w:sz w:val="21"/>
                <w:szCs w:val="21"/>
                <w:lang w:val="zh-CN"/>
              </w:rPr>
              <w:t xml:space="preserve"> </w:t>
            </w:r>
            <w:r>
              <w:rPr>
                <w:rFonts w:asciiTheme="minorEastAsia" w:hAnsiTheme="minorEastAsia" w:eastAsiaTheme="minorEastAsia"/>
                <w:b/>
                <w:bCs/>
                <w:sz w:val="21"/>
                <w:szCs w:val="21"/>
              </w:rPr>
              <w:fldChar w:fldCharType="begin"/>
            </w:r>
            <w:r>
              <w:rPr>
                <w:rFonts w:asciiTheme="minorEastAsia" w:hAnsiTheme="minorEastAsia" w:eastAsiaTheme="minorEastAsia"/>
                <w:b/>
                <w:bCs/>
                <w:sz w:val="21"/>
                <w:szCs w:val="21"/>
              </w:rPr>
              <w:instrText xml:space="preserve">PAGE</w:instrText>
            </w:r>
            <w:r>
              <w:rPr>
                <w:rFonts w:asciiTheme="minorEastAsia" w:hAnsiTheme="minorEastAsia" w:eastAsiaTheme="minorEastAsia"/>
                <w:b/>
                <w:bCs/>
                <w:sz w:val="21"/>
                <w:szCs w:val="21"/>
              </w:rPr>
              <w:fldChar w:fldCharType="separate"/>
            </w:r>
            <w:r>
              <w:rPr>
                <w:rFonts w:asciiTheme="minorEastAsia" w:hAnsiTheme="minorEastAsia" w:eastAsiaTheme="minorEastAsia"/>
                <w:b/>
                <w:bCs/>
                <w:sz w:val="21"/>
                <w:szCs w:val="21"/>
              </w:rPr>
              <w:t>52</w:t>
            </w:r>
            <w:r>
              <w:rPr>
                <w:rFonts w:asciiTheme="minorEastAsia" w:hAnsiTheme="minorEastAsia" w:eastAsiaTheme="minorEastAsia"/>
                <w:b/>
                <w:bCs/>
                <w:sz w:val="21"/>
                <w:szCs w:val="21"/>
              </w:rPr>
              <w:fldChar w:fldCharType="end"/>
            </w:r>
            <w:r>
              <w:rPr>
                <w:rFonts w:asciiTheme="minorEastAsia" w:hAnsiTheme="minorEastAsia" w:eastAsiaTheme="minorEastAsia"/>
                <w:b/>
                <w:bCs/>
                <w:sz w:val="21"/>
                <w:szCs w:val="21"/>
                <w:lang w:val="zh-CN"/>
              </w:rPr>
              <w:t xml:space="preserve"> 页/共 </w:t>
            </w:r>
            <w:r>
              <w:rPr>
                <w:rFonts w:hint="eastAsia" w:asciiTheme="minorEastAsia" w:hAnsiTheme="minorEastAsia" w:eastAsiaTheme="minorEastAsia"/>
                <w:b/>
                <w:bCs/>
                <w:sz w:val="21"/>
                <w:szCs w:val="21"/>
                <w:lang w:val="en-US" w:eastAsia="zh-CN"/>
              </w:rPr>
              <w:t>12</w:t>
            </w:r>
          </w:sdtContent>
        </w:sdt>
        <w:r>
          <w:rPr>
            <w:rFonts w:hint="eastAsia" w:asciiTheme="minorEastAsia" w:hAnsiTheme="minorEastAsia" w:eastAsiaTheme="minorEastAsia"/>
            <w:b/>
            <w:bCs/>
            <w:sz w:val="21"/>
            <w:szCs w:val="21"/>
          </w:rPr>
          <w:t xml:space="preserve"> 页</w:t>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DBCDB8"/>
    <w:multiLevelType w:val="singleLevel"/>
    <w:tmpl w:val="3FDBCDB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5YTY3YzYzMTg3ZDZmMGJjMzI5YWM5YTBhN2IzMTkifQ=="/>
  </w:docVars>
  <w:rsids>
    <w:rsidRoot w:val="04261B53"/>
    <w:rsid w:val="00326AC4"/>
    <w:rsid w:val="004209C2"/>
    <w:rsid w:val="0046375D"/>
    <w:rsid w:val="00975248"/>
    <w:rsid w:val="00AE30B0"/>
    <w:rsid w:val="0192652E"/>
    <w:rsid w:val="01C41B79"/>
    <w:rsid w:val="021F6013"/>
    <w:rsid w:val="02203B3A"/>
    <w:rsid w:val="029750D5"/>
    <w:rsid w:val="02F85774"/>
    <w:rsid w:val="03231B33"/>
    <w:rsid w:val="03676684"/>
    <w:rsid w:val="036D4CFA"/>
    <w:rsid w:val="038F5ECE"/>
    <w:rsid w:val="04261B53"/>
    <w:rsid w:val="04BC1BC1"/>
    <w:rsid w:val="04C47390"/>
    <w:rsid w:val="062067FE"/>
    <w:rsid w:val="07BC777D"/>
    <w:rsid w:val="080F08D8"/>
    <w:rsid w:val="088B63D5"/>
    <w:rsid w:val="08C26A84"/>
    <w:rsid w:val="09417FB2"/>
    <w:rsid w:val="09B2776D"/>
    <w:rsid w:val="0A634F0B"/>
    <w:rsid w:val="0AB37C41"/>
    <w:rsid w:val="0B624CF8"/>
    <w:rsid w:val="0BD7795F"/>
    <w:rsid w:val="0C61298A"/>
    <w:rsid w:val="0C7E602C"/>
    <w:rsid w:val="0CA2262C"/>
    <w:rsid w:val="0D205C25"/>
    <w:rsid w:val="0D5C45C0"/>
    <w:rsid w:val="0DBA24EE"/>
    <w:rsid w:val="0DCD726B"/>
    <w:rsid w:val="0E6147CB"/>
    <w:rsid w:val="0E7106D6"/>
    <w:rsid w:val="0F7845DD"/>
    <w:rsid w:val="10183048"/>
    <w:rsid w:val="11041FE1"/>
    <w:rsid w:val="11C95F9C"/>
    <w:rsid w:val="12211934"/>
    <w:rsid w:val="12265B67"/>
    <w:rsid w:val="12353FC5"/>
    <w:rsid w:val="127D39A5"/>
    <w:rsid w:val="12D270D2"/>
    <w:rsid w:val="13993F05"/>
    <w:rsid w:val="13E946D3"/>
    <w:rsid w:val="13FD5C4E"/>
    <w:rsid w:val="14C447F8"/>
    <w:rsid w:val="15013E62"/>
    <w:rsid w:val="154C4F1A"/>
    <w:rsid w:val="15531688"/>
    <w:rsid w:val="15DE3F67"/>
    <w:rsid w:val="17072BD0"/>
    <w:rsid w:val="17AC2735"/>
    <w:rsid w:val="17EB6C6C"/>
    <w:rsid w:val="199C739E"/>
    <w:rsid w:val="1ACA37CD"/>
    <w:rsid w:val="1B2B3823"/>
    <w:rsid w:val="1B527002"/>
    <w:rsid w:val="1C225C0A"/>
    <w:rsid w:val="1D085BCA"/>
    <w:rsid w:val="1D621A6B"/>
    <w:rsid w:val="1E072487"/>
    <w:rsid w:val="1E094DA7"/>
    <w:rsid w:val="1E3B1FCF"/>
    <w:rsid w:val="1FF70178"/>
    <w:rsid w:val="202820DF"/>
    <w:rsid w:val="20303E66"/>
    <w:rsid w:val="205A7A05"/>
    <w:rsid w:val="208F58B7"/>
    <w:rsid w:val="213170F5"/>
    <w:rsid w:val="2238373A"/>
    <w:rsid w:val="223B65F8"/>
    <w:rsid w:val="228F28EA"/>
    <w:rsid w:val="22B616D4"/>
    <w:rsid w:val="22D8603F"/>
    <w:rsid w:val="23027C77"/>
    <w:rsid w:val="23205AE3"/>
    <w:rsid w:val="23C465C3"/>
    <w:rsid w:val="23FB34CD"/>
    <w:rsid w:val="24687C63"/>
    <w:rsid w:val="24724271"/>
    <w:rsid w:val="255A175D"/>
    <w:rsid w:val="25B54415"/>
    <w:rsid w:val="25E57747"/>
    <w:rsid w:val="263C0693"/>
    <w:rsid w:val="27DC212D"/>
    <w:rsid w:val="28390F70"/>
    <w:rsid w:val="28551EE0"/>
    <w:rsid w:val="28A54C15"/>
    <w:rsid w:val="296756ED"/>
    <w:rsid w:val="29F55728"/>
    <w:rsid w:val="2ABE0C3A"/>
    <w:rsid w:val="2AD333E0"/>
    <w:rsid w:val="2ADB491E"/>
    <w:rsid w:val="2B6F32B8"/>
    <w:rsid w:val="2B795EE5"/>
    <w:rsid w:val="2C1D30CB"/>
    <w:rsid w:val="2CB06681"/>
    <w:rsid w:val="2CDF446E"/>
    <w:rsid w:val="2D1A0010"/>
    <w:rsid w:val="2D61122B"/>
    <w:rsid w:val="2D796034"/>
    <w:rsid w:val="2DD1025A"/>
    <w:rsid w:val="2E9D59F6"/>
    <w:rsid w:val="2EA77318"/>
    <w:rsid w:val="2EAF25F0"/>
    <w:rsid w:val="2F9C1B3C"/>
    <w:rsid w:val="300A5C83"/>
    <w:rsid w:val="307355F9"/>
    <w:rsid w:val="30C7091A"/>
    <w:rsid w:val="30F77FD8"/>
    <w:rsid w:val="311B7369"/>
    <w:rsid w:val="311B77D4"/>
    <w:rsid w:val="311F308B"/>
    <w:rsid w:val="31C003CA"/>
    <w:rsid w:val="31E700F2"/>
    <w:rsid w:val="3253123E"/>
    <w:rsid w:val="334D0383"/>
    <w:rsid w:val="337B5B8F"/>
    <w:rsid w:val="347E1288"/>
    <w:rsid w:val="34C04B85"/>
    <w:rsid w:val="34E268A9"/>
    <w:rsid w:val="35392D77"/>
    <w:rsid w:val="35947380"/>
    <w:rsid w:val="35D60949"/>
    <w:rsid w:val="36123510"/>
    <w:rsid w:val="3667175C"/>
    <w:rsid w:val="37BE35FD"/>
    <w:rsid w:val="38D96215"/>
    <w:rsid w:val="38E057F5"/>
    <w:rsid w:val="393742CF"/>
    <w:rsid w:val="39643D30"/>
    <w:rsid w:val="39EA3655"/>
    <w:rsid w:val="3A3C76F7"/>
    <w:rsid w:val="3A8151F0"/>
    <w:rsid w:val="3AB331C1"/>
    <w:rsid w:val="3ABA206D"/>
    <w:rsid w:val="3BBF16F2"/>
    <w:rsid w:val="3BE85E00"/>
    <w:rsid w:val="3CF34664"/>
    <w:rsid w:val="3D595B76"/>
    <w:rsid w:val="3D9C2405"/>
    <w:rsid w:val="3DB23599"/>
    <w:rsid w:val="3E806EA9"/>
    <w:rsid w:val="3F0044FB"/>
    <w:rsid w:val="3F270EB5"/>
    <w:rsid w:val="3FD00372"/>
    <w:rsid w:val="3FF57DD8"/>
    <w:rsid w:val="400E49F6"/>
    <w:rsid w:val="405014B2"/>
    <w:rsid w:val="409D5B2D"/>
    <w:rsid w:val="415428DD"/>
    <w:rsid w:val="41B91849"/>
    <w:rsid w:val="420A064F"/>
    <w:rsid w:val="420F2CA7"/>
    <w:rsid w:val="422A188F"/>
    <w:rsid w:val="42672F3E"/>
    <w:rsid w:val="42AF1441"/>
    <w:rsid w:val="43317379"/>
    <w:rsid w:val="43C41192"/>
    <w:rsid w:val="43D63A7D"/>
    <w:rsid w:val="43E75EC5"/>
    <w:rsid w:val="442A3DC9"/>
    <w:rsid w:val="45207697"/>
    <w:rsid w:val="45D64208"/>
    <w:rsid w:val="46110CB3"/>
    <w:rsid w:val="46EC4940"/>
    <w:rsid w:val="473A6980"/>
    <w:rsid w:val="474B6CCF"/>
    <w:rsid w:val="478D08F6"/>
    <w:rsid w:val="47ED75E7"/>
    <w:rsid w:val="486D0453"/>
    <w:rsid w:val="49595D88"/>
    <w:rsid w:val="4A0D0A9A"/>
    <w:rsid w:val="4A1657AF"/>
    <w:rsid w:val="4A657908"/>
    <w:rsid w:val="4ABF3F42"/>
    <w:rsid w:val="4B803312"/>
    <w:rsid w:val="4B853626"/>
    <w:rsid w:val="4B9B626D"/>
    <w:rsid w:val="4BD411EA"/>
    <w:rsid w:val="4C6C6C38"/>
    <w:rsid w:val="4C9269AF"/>
    <w:rsid w:val="4E685C19"/>
    <w:rsid w:val="4E9D65E0"/>
    <w:rsid w:val="4EDF1230"/>
    <w:rsid w:val="4F7725B8"/>
    <w:rsid w:val="4FA15C91"/>
    <w:rsid w:val="50A62A29"/>
    <w:rsid w:val="516E3547"/>
    <w:rsid w:val="51F62B9A"/>
    <w:rsid w:val="529B71DA"/>
    <w:rsid w:val="52F76CC0"/>
    <w:rsid w:val="53355DEE"/>
    <w:rsid w:val="54C94F26"/>
    <w:rsid w:val="555869E7"/>
    <w:rsid w:val="55C951EF"/>
    <w:rsid w:val="55E06C33"/>
    <w:rsid w:val="55F83D27"/>
    <w:rsid w:val="575630BF"/>
    <w:rsid w:val="575668EF"/>
    <w:rsid w:val="579E0252"/>
    <w:rsid w:val="57AE6D93"/>
    <w:rsid w:val="57B53D1C"/>
    <w:rsid w:val="57F535E7"/>
    <w:rsid w:val="58FB62EA"/>
    <w:rsid w:val="59AE2239"/>
    <w:rsid w:val="5A20427A"/>
    <w:rsid w:val="5AD20FEA"/>
    <w:rsid w:val="5AF54355"/>
    <w:rsid w:val="5B2F01EA"/>
    <w:rsid w:val="5BAC35E9"/>
    <w:rsid w:val="5BF925A6"/>
    <w:rsid w:val="5C3B062D"/>
    <w:rsid w:val="5C5D0D87"/>
    <w:rsid w:val="5CBD35D4"/>
    <w:rsid w:val="5D4E06D0"/>
    <w:rsid w:val="5D870AB5"/>
    <w:rsid w:val="5DC326EF"/>
    <w:rsid w:val="5E826883"/>
    <w:rsid w:val="5E896574"/>
    <w:rsid w:val="603A596D"/>
    <w:rsid w:val="60F577E0"/>
    <w:rsid w:val="61433E39"/>
    <w:rsid w:val="615D4D5C"/>
    <w:rsid w:val="622A542C"/>
    <w:rsid w:val="63EB0A27"/>
    <w:rsid w:val="647516AC"/>
    <w:rsid w:val="64AB70DC"/>
    <w:rsid w:val="651C258F"/>
    <w:rsid w:val="65BC7243"/>
    <w:rsid w:val="66E91AE9"/>
    <w:rsid w:val="67D543CA"/>
    <w:rsid w:val="68F14D31"/>
    <w:rsid w:val="690A194F"/>
    <w:rsid w:val="695F613F"/>
    <w:rsid w:val="69EC3C7F"/>
    <w:rsid w:val="6A1078A4"/>
    <w:rsid w:val="6A8676FB"/>
    <w:rsid w:val="6B480E55"/>
    <w:rsid w:val="6C7C4622"/>
    <w:rsid w:val="6CEB2C42"/>
    <w:rsid w:val="6CF25111"/>
    <w:rsid w:val="6F0B43D9"/>
    <w:rsid w:val="6F1267B6"/>
    <w:rsid w:val="70374E83"/>
    <w:rsid w:val="70467F16"/>
    <w:rsid w:val="71382CC8"/>
    <w:rsid w:val="718C35DE"/>
    <w:rsid w:val="71FF4D9F"/>
    <w:rsid w:val="723B3F0A"/>
    <w:rsid w:val="724376B8"/>
    <w:rsid w:val="724725B9"/>
    <w:rsid w:val="73DB0AB8"/>
    <w:rsid w:val="748B42AD"/>
    <w:rsid w:val="74AD7E59"/>
    <w:rsid w:val="76017B7A"/>
    <w:rsid w:val="766A1C7F"/>
    <w:rsid w:val="78CE0BEB"/>
    <w:rsid w:val="79A277EF"/>
    <w:rsid w:val="79A66A08"/>
    <w:rsid w:val="79E51190"/>
    <w:rsid w:val="7B2B32FC"/>
    <w:rsid w:val="7B7F547D"/>
    <w:rsid w:val="7B8736A0"/>
    <w:rsid w:val="7C4B4301"/>
    <w:rsid w:val="7C541895"/>
    <w:rsid w:val="7C684EB3"/>
    <w:rsid w:val="7D284898"/>
    <w:rsid w:val="7D6300BA"/>
    <w:rsid w:val="7E1F3C97"/>
    <w:rsid w:val="7E573431"/>
    <w:rsid w:val="7F671451"/>
    <w:rsid w:val="7F741DC0"/>
    <w:rsid w:val="7FA61022"/>
    <w:rsid w:val="7FBC3E4A"/>
    <w:rsid w:val="7FF61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qFormat="1" w:uiPriority="99"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仿宋_GB2312" w:cs="@仿宋_GB2312"/>
      <w:kern w:val="2"/>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40" w:line="360" w:lineRule="auto"/>
      <w:ind w:firstLine="640" w:firstLineChars="200"/>
      <w:jc w:val="left"/>
      <w:outlineLvl w:val="1"/>
    </w:pPr>
    <w:rPr>
      <w:rFonts w:ascii="Arial" w:hAnsi="Arial" w:eastAsia="方正黑体_GBK" w:cs="Times New Roman"/>
      <w:bCs/>
      <w:kern w:val="0"/>
      <w:sz w:val="28"/>
      <w:szCs w:val="32"/>
    </w:rPr>
  </w:style>
  <w:style w:type="paragraph" w:styleId="4">
    <w:name w:val="heading 3"/>
    <w:basedOn w:val="1"/>
    <w:next w:val="1"/>
    <w:semiHidden/>
    <w:unhideWhenUsed/>
    <w:qFormat/>
    <w:uiPriority w:val="9"/>
    <w:pPr>
      <w:keepNext/>
      <w:keepLines/>
      <w:spacing w:before="260" w:after="260" w:line="416" w:lineRule="auto"/>
      <w:outlineLvl w:val="2"/>
    </w:pPr>
    <w:rPr>
      <w:sz w:val="32"/>
      <w:szCs w:val="32"/>
    </w:rPr>
  </w:style>
  <w:style w:type="paragraph" w:styleId="5">
    <w:name w:val="heading 4"/>
    <w:basedOn w:val="1"/>
    <w:next w:val="1"/>
    <w:qFormat/>
    <w:uiPriority w:val="0"/>
    <w:pPr>
      <w:keepNext/>
      <w:keepLines/>
      <w:spacing w:before="280" w:after="290" w:line="376" w:lineRule="auto"/>
      <w:outlineLvl w:val="3"/>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sz w:val="18"/>
      <w:szCs w:val="18"/>
    </w:rPr>
  </w:style>
  <w:style w:type="paragraph" w:styleId="7">
    <w:name w:val="Normal Indent"/>
    <w:basedOn w:val="1"/>
    <w:next w:val="8"/>
    <w:qFormat/>
    <w:uiPriority w:val="0"/>
    <w:pPr>
      <w:autoSpaceDE w:val="0"/>
      <w:autoSpaceDN w:val="0"/>
      <w:adjustRightInd w:val="0"/>
      <w:ind w:firstLine="420"/>
      <w:jc w:val="left"/>
    </w:pPr>
    <w:rPr>
      <w:rFonts w:ascii="宋体" w:hAnsi="Times New Roman" w:eastAsia="宋体" w:cs="Times New Roman"/>
      <w:kern w:val="0"/>
      <w:sz w:val="24"/>
    </w:rPr>
  </w:style>
  <w:style w:type="paragraph" w:styleId="8">
    <w:name w:val="Body Text"/>
    <w:basedOn w:val="1"/>
    <w:next w:val="1"/>
    <w:qFormat/>
    <w:uiPriority w:val="0"/>
    <w:pPr>
      <w:spacing w:after="120"/>
    </w:pPr>
    <w:rPr>
      <w:rFonts w:ascii="@微软简标宋" w:hAnsi="@微软简标宋" w:eastAsia="@微软简标宋" w:cs="@微软简标宋"/>
      <w:szCs w:val="24"/>
      <w:lang w:val="zh-CN"/>
    </w:rPr>
  </w:style>
  <w:style w:type="paragraph" w:styleId="9">
    <w:name w:val="caption"/>
    <w:basedOn w:val="1"/>
    <w:next w:val="1"/>
    <w:qFormat/>
    <w:uiPriority w:val="35"/>
    <w:pPr>
      <w:spacing w:line="360" w:lineRule="auto"/>
      <w:ind w:firstLine="200" w:firstLineChars="200"/>
      <w:jc w:val="center"/>
    </w:pPr>
    <w:rPr>
      <w:rFonts w:ascii="Arial" w:hAnsi="Arial" w:eastAsia="黑体" w:cs="Arial"/>
      <w:sz w:val="20"/>
    </w:rPr>
  </w:style>
  <w:style w:type="paragraph" w:styleId="10">
    <w:name w:val="annotation text"/>
    <w:basedOn w:val="1"/>
    <w:qFormat/>
    <w:uiPriority w:val="0"/>
    <w:pPr>
      <w:jc w:val="left"/>
    </w:pPr>
    <w:rPr>
      <w:rFonts w:ascii="Arial" w:hAnsi="Arial" w:eastAsia="黑体" w:cs="Arial"/>
    </w:rPr>
  </w:style>
  <w:style w:type="paragraph" w:styleId="11">
    <w:name w:val="Body Text Indent"/>
    <w:basedOn w:val="1"/>
    <w:next w:val="12"/>
    <w:semiHidden/>
    <w:unhideWhenUsed/>
    <w:qFormat/>
    <w:uiPriority w:val="99"/>
    <w:pPr>
      <w:ind w:left="420" w:leftChars="200"/>
    </w:pPr>
  </w:style>
  <w:style w:type="paragraph" w:styleId="12">
    <w:name w:val="envelope return"/>
    <w:basedOn w:val="1"/>
    <w:qFormat/>
    <w:uiPriority w:val="99"/>
    <w:pPr>
      <w:snapToGrid w:val="0"/>
    </w:pPr>
    <w:rPr>
      <w:rFonts w:ascii="Arial" w:hAnsi="Arial" w:cs="Arial"/>
    </w:rPr>
  </w:style>
  <w:style w:type="paragraph" w:styleId="13">
    <w:name w:val="index 4"/>
    <w:basedOn w:val="1"/>
    <w:next w:val="1"/>
    <w:qFormat/>
    <w:uiPriority w:val="0"/>
    <w:pPr>
      <w:ind w:left="600" w:leftChars="600"/>
    </w:pPr>
    <w:rPr>
      <w:rFonts w:ascii="Times New Roman" w:hAnsi="Times New Roman" w:eastAsia="宋体" w:cs="Times New Roman"/>
    </w:rPr>
  </w:style>
  <w:style w:type="paragraph" w:styleId="14">
    <w:name w:val="Plain Text"/>
    <w:basedOn w:val="1"/>
    <w:qFormat/>
    <w:uiPriority w:val="99"/>
    <w:rPr>
      <w:rFonts w:ascii="宋体" w:hAnsi="Courier New" w:eastAsiaTheme="minorEastAsia" w:cstheme="minorBidi"/>
      <w:szCs w:val="22"/>
    </w:rPr>
  </w:style>
  <w:style w:type="paragraph" w:styleId="15">
    <w:name w:val="footer"/>
    <w:basedOn w:val="1"/>
    <w:unhideWhenUsed/>
    <w:qFormat/>
    <w:uiPriority w:val="99"/>
    <w:pPr>
      <w:tabs>
        <w:tab w:val="center" w:pos="4153"/>
        <w:tab w:val="right" w:pos="8306"/>
      </w:tabs>
      <w:snapToGrid w:val="0"/>
      <w:jc w:val="left"/>
    </w:pPr>
    <w:rPr>
      <w:sz w:val="18"/>
      <w:szCs w:val="18"/>
    </w:rPr>
  </w:style>
  <w:style w:type="paragraph" w:styleId="1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qFormat/>
    <w:uiPriority w:val="11"/>
    <w:pPr>
      <w:spacing w:before="240" w:after="60" w:line="312" w:lineRule="auto"/>
      <w:jc w:val="center"/>
      <w:outlineLvl w:val="1"/>
    </w:pPr>
    <w:rPr>
      <w:rFonts w:ascii="Cambria" w:hAnsi="Cambria" w:cs="Times New Roman"/>
      <w:b/>
      <w:bCs/>
      <w:kern w:val="28"/>
      <w:sz w:val="32"/>
      <w:szCs w:val="32"/>
    </w:rPr>
  </w:style>
  <w:style w:type="paragraph" w:styleId="18">
    <w:name w:val="List"/>
    <w:basedOn w:val="1"/>
    <w:next w:val="1"/>
    <w:qFormat/>
    <w:uiPriority w:val="0"/>
    <w:pPr>
      <w:ind w:left="420" w:hanging="420"/>
    </w:pPr>
    <w:rPr>
      <w:rFonts w:ascii="Arial" w:hAnsi="Arial" w:eastAsia="楷体_GB2312"/>
      <w:sz w:val="28"/>
    </w:rPr>
  </w:style>
  <w:style w:type="paragraph" w:styleId="19">
    <w:name w:val="Body Text 2"/>
    <w:basedOn w:val="1"/>
    <w:semiHidden/>
    <w:unhideWhenUsed/>
    <w:qFormat/>
    <w:uiPriority w:val="99"/>
    <w:pPr>
      <w:spacing w:after="120" w:line="480" w:lineRule="auto"/>
    </w:pPr>
  </w:style>
  <w:style w:type="paragraph" w:styleId="20">
    <w:name w:val="Normal (Web)"/>
    <w:basedOn w:val="1"/>
    <w:qFormat/>
    <w:uiPriority w:val="0"/>
    <w:pPr>
      <w:spacing w:beforeAutospacing="1" w:afterAutospacing="1"/>
      <w:jc w:val="left"/>
    </w:pPr>
    <w:rPr>
      <w:kern w:val="0"/>
      <w:sz w:val="24"/>
    </w:rPr>
  </w:style>
  <w:style w:type="paragraph" w:styleId="21">
    <w:name w:val="Body Text First Indent"/>
    <w:basedOn w:val="8"/>
    <w:unhideWhenUsed/>
    <w:qFormat/>
    <w:uiPriority w:val="99"/>
    <w:pPr>
      <w:ind w:firstLine="420" w:firstLineChars="100"/>
    </w:pPr>
  </w:style>
  <w:style w:type="paragraph" w:styleId="22">
    <w:name w:val="Body Text First Indent 2"/>
    <w:basedOn w:val="11"/>
    <w:next w:val="1"/>
    <w:semiHidden/>
    <w:unhideWhenUsed/>
    <w:qFormat/>
    <w:uiPriority w:val="99"/>
    <w:pPr>
      <w:ind w:firstLine="420" w:firstLineChars="200"/>
    </w:pPr>
  </w:style>
  <w:style w:type="table" w:styleId="24">
    <w:name w:val="Table Grid"/>
    <w:basedOn w:val="23"/>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unhideWhenUsed/>
    <w:qFormat/>
    <w:uiPriority w:val="99"/>
    <w:rPr>
      <w:color w:val="0026E5" w:themeColor="hyperlink"/>
      <w:u w:val="single"/>
      <w14:textFill>
        <w14:solidFill>
          <w14:schemeClr w14:val="hlink"/>
        </w14:solidFill>
      </w14:textFill>
    </w:rPr>
  </w:style>
  <w:style w:type="character" w:styleId="27">
    <w:name w:val="annotation reference"/>
    <w:basedOn w:val="25"/>
    <w:semiHidden/>
    <w:unhideWhenUsed/>
    <w:qFormat/>
    <w:uiPriority w:val="99"/>
    <w:rPr>
      <w:sz w:val="21"/>
      <w:szCs w:val="21"/>
    </w:rPr>
  </w:style>
  <w:style w:type="paragraph" w:customStyle="1" w:styleId="28">
    <w:name w:val="DAS正文"/>
    <w:basedOn w:val="1"/>
    <w:qFormat/>
    <w:uiPriority w:val="0"/>
    <w:pPr>
      <w:spacing w:line="360" w:lineRule="auto"/>
      <w:ind w:right="181" w:firstLine="480" w:firstLineChars="200"/>
      <w:jc w:val="left"/>
    </w:pPr>
    <w:rPr>
      <w:rFonts w:ascii="Verdana" w:hAnsi="Verdana"/>
      <w:sz w:val="24"/>
    </w:rPr>
  </w:style>
  <w:style w:type="paragraph" w:customStyle="1" w:styleId="29">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Normal Indent1"/>
    <w:basedOn w:val="1"/>
    <w:autoRedefine/>
    <w:qFormat/>
    <w:uiPriority w:val="0"/>
    <w:pPr>
      <w:ind w:firstLine="420" w:firstLineChars="200"/>
    </w:pPr>
  </w:style>
  <w:style w:type="character" w:customStyle="1" w:styleId="32">
    <w:name w:val="font11"/>
    <w:basedOn w:val="25"/>
    <w:autoRedefine/>
    <w:qFormat/>
    <w:uiPriority w:val="0"/>
    <w:rPr>
      <w:rFonts w:ascii="黑体" w:hAnsi="宋体" w:eastAsia="黑体" w:cs="黑体"/>
      <w:b/>
      <w:bCs/>
      <w:color w:val="000000"/>
      <w:sz w:val="18"/>
      <w:szCs w:val="18"/>
      <w:u w:val="none"/>
    </w:rPr>
  </w:style>
  <w:style w:type="paragraph" w:customStyle="1" w:styleId="33">
    <w:name w:val="Table Text"/>
    <w:basedOn w:val="1"/>
    <w:autoRedefine/>
    <w:semiHidden/>
    <w:qFormat/>
    <w:uiPriority w:val="0"/>
    <w:pPr>
      <w:tabs>
        <w:tab w:val="left" w:pos="0"/>
      </w:tabs>
    </w:pPr>
    <w:rPr>
      <w:rFonts w:ascii="仿宋" w:hAnsi="仿宋" w:eastAsia="仿宋" w:cs="仿宋"/>
      <w:sz w:val="24"/>
      <w:szCs w:val="24"/>
    </w:rPr>
  </w:style>
  <w:style w:type="paragraph" w:customStyle="1" w:styleId="34">
    <w:name w:val="正文正"/>
    <w:basedOn w:val="1"/>
    <w:autoRedefine/>
    <w:qFormat/>
    <w:uiPriority w:val="0"/>
    <w:pPr>
      <w:spacing w:line="560" w:lineRule="exact"/>
      <w:ind w:firstLine="561"/>
    </w:pPr>
    <w:rPr>
      <w:rFonts w:ascii="Times New Roman" w:hAnsi="Times New Roman" w:eastAsia="仿宋_GB2312" w:cs="Times New Roman"/>
      <w:sz w:val="28"/>
    </w:rPr>
  </w:style>
  <w:style w:type="paragraph" w:styleId="35">
    <w:name w:val="List Paragraph"/>
    <w:basedOn w:val="1"/>
    <w:autoRedefine/>
    <w:qFormat/>
    <w:uiPriority w:val="34"/>
    <w:pPr>
      <w:ind w:firstLine="420" w:firstLineChars="200"/>
    </w:pPr>
  </w:style>
  <w:style w:type="character" w:customStyle="1" w:styleId="36">
    <w:name w:val="font21"/>
    <w:autoRedefine/>
    <w:qFormat/>
    <w:uiPriority w:val="0"/>
    <w:rPr>
      <w:rFonts w:hint="eastAsia" w:ascii="微软雅黑" w:hAnsi="微软雅黑" w:eastAsia="微软雅黑" w:cs="微软雅黑"/>
      <w:color w:val="000000"/>
      <w:sz w:val="21"/>
      <w:szCs w:val="21"/>
      <w:u w:val="none"/>
    </w:rPr>
  </w:style>
  <w:style w:type="table" w:customStyle="1" w:styleId="37">
    <w:name w:val="网格型31"/>
    <w:basedOn w:val="23"/>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
    <w:name w:val="Table Normal"/>
    <w:semiHidden/>
    <w:qFormat/>
    <w:uiPriority w:val="2"/>
    <w:pPr>
      <w:widowControl w:val="0"/>
      <w:autoSpaceDE w:val="0"/>
      <w:autoSpaceDN w:val="0"/>
    </w:pPr>
    <w:rPr>
      <w:rFonts w:ascii="Calibri" w:hAnsi="Calibri" w:eastAsia="Times New Roman" w:cs="Times New Roman"/>
      <w:sz w:val="22"/>
      <w:szCs w:val="22"/>
      <w:lang w:eastAsia="en-US"/>
    </w:rPr>
    <w:tblPr>
      <w:tblCellMar>
        <w:top w:w="0" w:type="dxa"/>
        <w:left w:w="0" w:type="dxa"/>
        <w:bottom w:w="0" w:type="dxa"/>
        <w:right w:w="0" w:type="dxa"/>
      </w:tblCellMar>
    </w:tblPr>
  </w:style>
  <w:style w:type="paragraph" w:customStyle="1" w:styleId="39">
    <w:name w:val="表L_5"/>
    <w:basedOn w:val="1"/>
    <w:qFormat/>
    <w:uiPriority w:val="0"/>
    <w:pPr>
      <w:framePr w:hSpace="180" w:wrap="around" w:vAnchor="text" w:hAnchor="text" w:y="1"/>
      <w:suppressOverlap/>
      <w:jc w:val="center"/>
    </w:pPr>
    <w:rPr>
      <w:rFonts w:ascii="宋体" w:hAnsi="宋体" w:cs="Arial"/>
      <w:kern w:val="0"/>
      <w:sz w:val="18"/>
      <w:szCs w:val="21"/>
    </w:rPr>
  </w:style>
  <w:style w:type="paragraph" w:customStyle="1" w:styleId="40">
    <w:name w:val="列出段落1"/>
    <w:basedOn w:val="1"/>
    <w:qFormat/>
    <w:uiPriority w:val="0"/>
    <w:pPr>
      <w:ind w:firstLine="420" w:firstLineChars="200"/>
    </w:pPr>
    <w:rPr>
      <w:rFonts w:ascii="Calibri" w:hAnsi="Calibri" w:eastAsia="宋体" w:cs="Times New Roman"/>
      <w:szCs w:val="24"/>
    </w:rPr>
  </w:style>
  <w:style w:type="paragraph" w:customStyle="1" w:styleId="41">
    <w:name w:val="正文2"/>
    <w:basedOn w:val="1"/>
    <w:next w:val="1"/>
    <w:qFormat/>
    <w:uiPriority w:val="0"/>
    <w:pPr>
      <w:ind w:firstLine="480" w:firstLineChars="200"/>
    </w:pPr>
  </w:style>
  <w:style w:type="paragraph" w:customStyle="1" w:styleId="42">
    <w:name w:val="正文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43">
    <w:name w:val="font01"/>
    <w:basedOn w:val="25"/>
    <w:qFormat/>
    <w:uiPriority w:val="0"/>
    <w:rPr>
      <w:rFonts w:hint="eastAsia" w:ascii="宋体" w:hAnsi="宋体" w:eastAsia="宋体" w:cs="宋体"/>
      <w:color w:val="000000"/>
      <w:sz w:val="20"/>
      <w:szCs w:val="20"/>
      <w:u w:val="none"/>
      <w:vertAlign w:val="superscript"/>
    </w:rPr>
  </w:style>
  <w:style w:type="character" w:customStyle="1" w:styleId="44">
    <w:name w:val="font41"/>
    <w:basedOn w:val="25"/>
    <w:qFormat/>
    <w:uiPriority w:val="0"/>
    <w:rPr>
      <w:rFonts w:hint="eastAsia" w:ascii="宋体" w:hAnsi="宋体" w:eastAsia="宋体" w:cs="宋体"/>
      <w:color w:val="000000"/>
      <w:sz w:val="20"/>
      <w:szCs w:val="20"/>
      <w:u w:val="none"/>
    </w:rPr>
  </w:style>
  <w:style w:type="character" w:customStyle="1" w:styleId="45">
    <w:name w:val="font31"/>
    <w:basedOn w:val="25"/>
    <w:qFormat/>
    <w:uiPriority w:val="0"/>
    <w:rPr>
      <w:rFonts w:hint="eastAsia" w:ascii="宋体" w:hAnsi="宋体" w:eastAsia="宋体" w:cs="宋体"/>
      <w:color w:val="000000"/>
      <w:sz w:val="20"/>
      <w:szCs w:val="20"/>
      <w:u w:val="none"/>
    </w:rPr>
  </w:style>
  <w:style w:type="paragraph" w:customStyle="1" w:styleId="46">
    <w:name w:val="BodyText1I2"/>
    <w:basedOn w:val="1"/>
    <w:qFormat/>
    <w:uiPriority w:val="0"/>
    <w:pPr>
      <w:spacing w:line="360" w:lineRule="auto"/>
      <w:ind w:firstLine="480" w:firstLineChars="200"/>
      <w:jc w:val="left"/>
    </w:pPr>
    <w:rPr>
      <w:rFonts w:eastAsia="仿宋"/>
      <w:kern w:val="0"/>
      <w:sz w:val="28"/>
    </w:rPr>
  </w:style>
  <w:style w:type="character" w:customStyle="1" w:styleId="47">
    <w:name w:val="font112"/>
    <w:qFormat/>
    <w:uiPriority w:val="0"/>
    <w:rPr>
      <w:rFonts w:ascii="Calibri" w:hAnsi="Calibri" w:cs="Calibri"/>
      <w:color w:val="000000"/>
      <w:sz w:val="20"/>
      <w:szCs w:val="20"/>
      <w:u w:val="none"/>
    </w:rPr>
  </w:style>
  <w:style w:type="paragraph" w:customStyle="1" w:styleId="48">
    <w:name w:val="Default"/>
    <w:next w:val="1"/>
    <w:qFormat/>
    <w:uiPriority w:val="0"/>
    <w:pPr>
      <w:widowControl w:val="0"/>
      <w:autoSpaceDE w:val="0"/>
      <w:autoSpaceDN w:val="0"/>
      <w:adjustRightInd w:val="0"/>
    </w:pPr>
    <w:rPr>
      <w:rFonts w:ascii="宋体" w:hAnsi="Times New Roman" w:eastAsia="宋体" w:cs="Times New Roman"/>
      <w:color w:val="000000"/>
      <w:sz w:val="24"/>
      <w:lang w:val="en-US" w:eastAsia="zh-CN"/>
    </w:rPr>
  </w:style>
  <w:style w:type="paragraph" w:customStyle="1" w:styleId="49">
    <w:name w:val="Compact"/>
    <w:basedOn w:val="8"/>
    <w:qFormat/>
    <w:uiPriority w:val="0"/>
    <w:pPr>
      <w:spacing w:before="36" w:after="36"/>
    </w:pPr>
  </w:style>
  <w:style w:type="paragraph" w:customStyle="1" w:styleId="50">
    <w:name w:val="Table Paragraph"/>
    <w:basedOn w:val="1"/>
    <w:unhideWhenUsed/>
    <w:qFormat/>
    <w:uiPriority w:val="1"/>
    <w:rPr>
      <w:rFonts w:hint="eastAsia"/>
      <w:sz w:val="28"/>
    </w:rPr>
  </w:style>
  <w:style w:type="paragraph" w:customStyle="1" w:styleId="51">
    <w:name w:val="列出段落2"/>
    <w:basedOn w:val="1"/>
    <w:qFormat/>
    <w:uiPriority w:val="99"/>
    <w:pPr>
      <w:ind w:firstLine="420" w:firstLineChars="200"/>
    </w:pPr>
    <w:rPr>
      <w:rFonts w:ascii="Calibri" w:hAnsi="Calibri" w:eastAsia="宋体" w:cs="Times New Roman"/>
    </w:rPr>
  </w:style>
  <w:style w:type="character" w:customStyle="1" w:styleId="52">
    <w:name w:val="fontstyle01"/>
    <w:basedOn w:val="25"/>
    <w:autoRedefine/>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1741</Words>
  <Characters>1852</Characters>
  <Lines>0</Lines>
  <Paragraphs>0</Paragraphs>
  <TotalTime>21</TotalTime>
  <ScaleCrop>false</ScaleCrop>
  <LinksUpToDate>false</LinksUpToDate>
  <CharactersWithSpaces>1857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2024-10-08T07:57:00Z</dcterms:created>
  <dc:creator>xh</dc:creator>
  <cp:lastModifiedBy>阿宝</cp:lastModifiedBy>
  <dcterms:modified xsi:type="dcterms:W3CDTF">2026-02-02T02:58:08Z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3F576009E58343BCA73F2A77E207EF00_13</vt:lpwstr>
  </property>
  <property fmtid="{D5CDD505-2E9C-101B-9397-08002B2CF9AE}" pid="4" name="KSOTemplateDocerSaveRecord">
    <vt:lpwstr>eyJoZGlkIjoiNGUxYzU3ZjY3ZWEzMDVhZTc5NzdhM2Q4YmIxOTBhZTUiLCJ1c2VySWQiOiI1MTY3MjYwMzEifQ==</vt:lpwstr>
  </property>
</Properties>
</file>